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559" w:rsidRDefault="00C94481">
      <w:pPr>
        <w:pBdr>
          <w:top w:val="nil"/>
          <w:left w:val="nil"/>
          <w:bottom w:val="nil"/>
          <w:right w:val="nil"/>
          <w:between w:val="nil"/>
        </w:pBdr>
        <w:tabs>
          <w:tab w:val="left" w:pos="708"/>
        </w:tabs>
        <w:jc w:val="center"/>
        <w:rPr>
          <w:rFonts w:ascii="Times New Roman" w:eastAsia="Times New Roman" w:hAnsi="Times New Roman" w:cs="Times New Roman"/>
          <w:color w:val="000000"/>
        </w:rPr>
      </w:pPr>
      <w:bookmarkStart w:id="0" w:name="_heading=h.gjdgxs" w:colFirst="0" w:colLast="0"/>
      <w:bookmarkEnd w:id="0"/>
      <w:r>
        <w:rPr>
          <w:rFonts w:ascii="Times New Roman" w:eastAsia="Times New Roman" w:hAnsi="Times New Roman" w:cs="Times New Roman"/>
          <w:noProof/>
          <w:color w:val="000000"/>
        </w:rPr>
        <w:drawing>
          <wp:inline distT="0" distB="0" distL="0" distR="0">
            <wp:extent cx="695325" cy="752475"/>
            <wp:effectExtent l="0" t="0" r="0" b="0"/>
            <wp:docPr id="3" name="image1.png" descr="A description..."/>
            <wp:cNvGraphicFramePr/>
            <a:graphic xmlns:a="http://schemas.openxmlformats.org/drawingml/2006/main">
              <a:graphicData uri="http://schemas.openxmlformats.org/drawingml/2006/picture">
                <pic:pic xmlns:pic="http://schemas.openxmlformats.org/drawingml/2006/picture">
                  <pic:nvPicPr>
                    <pic:cNvPr id="0" name="image1.png" descr="A description..."/>
                    <pic:cNvPicPr preferRelativeResize="0"/>
                  </pic:nvPicPr>
                  <pic:blipFill>
                    <a:blip r:embed="rId8"/>
                    <a:srcRect/>
                    <a:stretch>
                      <a:fillRect/>
                    </a:stretch>
                  </pic:blipFill>
                  <pic:spPr>
                    <a:xfrm>
                      <a:off x="0" y="0"/>
                      <a:ext cx="695325" cy="752475"/>
                    </a:xfrm>
                    <a:prstGeom prst="rect">
                      <a:avLst/>
                    </a:prstGeom>
                    <a:ln/>
                  </pic:spPr>
                </pic:pic>
              </a:graphicData>
            </a:graphic>
          </wp:inline>
        </w:drawing>
      </w:r>
    </w:p>
    <w:p w:rsidR="00181559" w:rsidRDefault="00C94481">
      <w:pPr>
        <w:keepNext/>
        <w:widowControl w:val="0"/>
        <w:spacing w:line="276" w:lineRule="auto"/>
        <w:jc w:val="center"/>
        <w:rPr>
          <w:rFonts w:ascii="Times New Roman" w:eastAsia="Times New Roman" w:hAnsi="Times New Roman" w:cs="Times New Roman"/>
          <w:b/>
          <w:color w:val="00000A"/>
        </w:rPr>
      </w:pPr>
      <w:r>
        <w:rPr>
          <w:rFonts w:ascii="Times New Roman" w:eastAsia="Times New Roman" w:hAnsi="Times New Roman" w:cs="Times New Roman"/>
          <w:b/>
          <w:color w:val="00000A"/>
          <w:highlight w:val="white"/>
        </w:rPr>
        <w:t>MINISTÉRIO DA DEFESA</w:t>
      </w:r>
    </w:p>
    <w:p w:rsidR="00181559" w:rsidRDefault="00C94481">
      <w:pPr>
        <w:keepNext/>
        <w:widowControl w:val="0"/>
        <w:spacing w:line="276" w:lineRule="auto"/>
        <w:jc w:val="center"/>
        <w:rPr>
          <w:rFonts w:ascii="Times New Roman" w:eastAsia="Times New Roman" w:hAnsi="Times New Roman" w:cs="Times New Roman"/>
          <w:b/>
          <w:color w:val="00000A"/>
        </w:rPr>
      </w:pPr>
      <w:r>
        <w:rPr>
          <w:rFonts w:ascii="Times New Roman" w:eastAsia="Times New Roman" w:hAnsi="Times New Roman" w:cs="Times New Roman"/>
          <w:b/>
          <w:color w:val="00000A"/>
          <w:highlight w:val="white"/>
        </w:rPr>
        <w:t>EXÉRCITO BRASILEIRO</w:t>
      </w:r>
    </w:p>
    <w:p w:rsidR="00181559" w:rsidRDefault="00C94481">
      <w:pPr>
        <w:keepNext/>
        <w:widowControl w:val="0"/>
        <w:spacing w:line="276" w:lineRule="auto"/>
        <w:jc w:val="center"/>
        <w:rPr>
          <w:rFonts w:ascii="Times New Roman" w:eastAsia="Times New Roman" w:hAnsi="Times New Roman" w:cs="Times New Roman"/>
          <w:b/>
          <w:color w:val="00000A"/>
        </w:rPr>
      </w:pPr>
      <w:r>
        <w:rPr>
          <w:rFonts w:ascii="Times New Roman" w:eastAsia="Times New Roman" w:hAnsi="Times New Roman" w:cs="Times New Roman"/>
          <w:b/>
          <w:color w:val="00000A"/>
          <w:highlight w:val="white"/>
        </w:rPr>
        <w:t>41º BATALHÃO DE INFANTARIA M</w:t>
      </w:r>
      <w:r w:rsidR="00A128A1">
        <w:rPr>
          <w:rFonts w:ascii="Times New Roman" w:eastAsia="Times New Roman" w:hAnsi="Times New Roman" w:cs="Times New Roman"/>
          <w:b/>
          <w:color w:val="00000A"/>
          <w:highlight w:val="white"/>
        </w:rPr>
        <w:t>ECANIZADO</w:t>
      </w:r>
    </w:p>
    <w:p w:rsidR="00181559" w:rsidRDefault="00C94481">
      <w:pPr>
        <w:keepNext/>
        <w:widowControl w:val="0"/>
        <w:spacing w:line="276" w:lineRule="auto"/>
        <w:jc w:val="center"/>
        <w:rPr>
          <w:rFonts w:ascii="Times New Roman" w:eastAsia="Times New Roman" w:hAnsi="Times New Roman" w:cs="Times New Roman"/>
          <w:b/>
        </w:rPr>
      </w:pPr>
      <w:r>
        <w:rPr>
          <w:rFonts w:ascii="Times New Roman" w:eastAsia="Times New Roman" w:hAnsi="Times New Roman" w:cs="Times New Roman"/>
          <w:b/>
          <w:color w:val="00000A"/>
          <w:highlight w:val="white"/>
        </w:rPr>
        <w:t>(</w:t>
      </w:r>
      <w:r>
        <w:rPr>
          <w:rFonts w:ascii="Times New Roman" w:eastAsia="Times New Roman" w:hAnsi="Times New Roman" w:cs="Times New Roman"/>
          <w:b/>
        </w:rPr>
        <w:t>BATALHÃO GENERAL XAVIER CURADO</w:t>
      </w:r>
      <w:r>
        <w:rPr>
          <w:rFonts w:ascii="Times New Roman" w:eastAsia="Times New Roman" w:hAnsi="Times New Roman" w:cs="Times New Roman"/>
          <w:b/>
          <w:color w:val="00000A"/>
          <w:highlight w:val="white"/>
        </w:rPr>
        <w:t>)</w:t>
      </w:r>
    </w:p>
    <w:p w:rsidR="00181559" w:rsidRDefault="00181559">
      <w:pPr>
        <w:pBdr>
          <w:top w:val="nil"/>
          <w:left w:val="nil"/>
          <w:bottom w:val="nil"/>
          <w:right w:val="nil"/>
          <w:between w:val="nil"/>
        </w:pBdr>
        <w:tabs>
          <w:tab w:val="left" w:pos="708"/>
        </w:tabs>
        <w:jc w:val="center"/>
        <w:rPr>
          <w:rFonts w:ascii="Times New Roman" w:eastAsia="Times New Roman" w:hAnsi="Times New Roman" w:cs="Times New Roman"/>
          <w:b/>
          <w:color w:val="000000"/>
        </w:rPr>
      </w:pPr>
    </w:p>
    <w:p w:rsidR="00181559" w:rsidRDefault="00C94481">
      <w:pPr>
        <w:pBdr>
          <w:top w:val="nil"/>
          <w:left w:val="nil"/>
          <w:bottom w:val="nil"/>
          <w:right w:val="nil"/>
          <w:between w:val="nil"/>
        </w:pBdr>
        <w:tabs>
          <w:tab w:val="left" w:pos="708"/>
        </w:tabs>
        <w:spacing w:line="360" w:lineRule="auto"/>
        <w:jc w:val="center"/>
        <w:rPr>
          <w:rFonts w:ascii="Times New Roman" w:eastAsia="Times New Roman" w:hAnsi="Times New Roman" w:cs="Times New Roman"/>
          <w:b/>
          <w:color w:val="000000"/>
        </w:rPr>
      </w:pPr>
      <w:r>
        <w:rPr>
          <w:rFonts w:ascii="Times New Roman" w:eastAsia="Times New Roman" w:hAnsi="Times New Roman" w:cs="Times New Roman"/>
          <w:b/>
        </w:rPr>
        <w:t xml:space="preserve">ANEXO I - </w:t>
      </w:r>
      <w:r>
        <w:rPr>
          <w:rFonts w:ascii="Times New Roman" w:eastAsia="Times New Roman" w:hAnsi="Times New Roman" w:cs="Times New Roman"/>
          <w:b/>
          <w:color w:val="000000"/>
        </w:rPr>
        <w:t xml:space="preserve">TERMO DE REFERÊNCIA </w:t>
      </w:r>
    </w:p>
    <w:p w:rsidR="00181559" w:rsidRDefault="00C94481">
      <w:pPr>
        <w:pBdr>
          <w:top w:val="nil"/>
          <w:left w:val="nil"/>
          <w:bottom w:val="nil"/>
          <w:right w:val="nil"/>
          <w:between w:val="nil"/>
        </w:pBdr>
        <w:tabs>
          <w:tab w:val="left" w:pos="708"/>
        </w:tabs>
        <w:spacing w:line="36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PREGÃO ELETRÔNICO Nº 90</w:t>
      </w:r>
      <w:r>
        <w:rPr>
          <w:rFonts w:ascii="Times New Roman" w:eastAsia="Times New Roman" w:hAnsi="Times New Roman" w:cs="Times New Roman"/>
          <w:b/>
        </w:rPr>
        <w:t>00</w:t>
      </w:r>
      <w:r w:rsidR="00A128A1">
        <w:rPr>
          <w:rFonts w:ascii="Times New Roman" w:eastAsia="Times New Roman" w:hAnsi="Times New Roman" w:cs="Times New Roman"/>
          <w:b/>
        </w:rPr>
        <w:t>2</w:t>
      </w:r>
      <w:r>
        <w:rPr>
          <w:rFonts w:ascii="Times New Roman" w:eastAsia="Times New Roman" w:hAnsi="Times New Roman" w:cs="Times New Roman"/>
          <w:b/>
          <w:color w:val="000000"/>
        </w:rPr>
        <w:t>/202</w:t>
      </w:r>
      <w:r w:rsidR="00A128A1">
        <w:rPr>
          <w:rFonts w:ascii="Times New Roman" w:eastAsia="Times New Roman" w:hAnsi="Times New Roman" w:cs="Times New Roman"/>
          <w:b/>
          <w:color w:val="000000"/>
        </w:rPr>
        <w:t>5</w:t>
      </w:r>
    </w:p>
    <w:p w:rsidR="00181559" w:rsidRDefault="00181559">
      <w:pPr>
        <w:pBdr>
          <w:top w:val="nil"/>
          <w:left w:val="nil"/>
          <w:bottom w:val="nil"/>
          <w:right w:val="nil"/>
          <w:between w:val="nil"/>
        </w:pBdr>
        <w:tabs>
          <w:tab w:val="left" w:pos="708"/>
        </w:tabs>
        <w:jc w:val="center"/>
        <w:rPr>
          <w:rFonts w:ascii="Times New Roman" w:eastAsia="Times New Roman" w:hAnsi="Times New Roman" w:cs="Times New Roman"/>
          <w:color w:val="000000"/>
        </w:rPr>
      </w:pPr>
    </w:p>
    <w:p w:rsidR="00181559" w:rsidRDefault="00C94481">
      <w:pPr>
        <w:spacing w:before="120" w:after="288" w:line="312"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(Processo Administrativo n° </w:t>
      </w:r>
      <w:r>
        <w:rPr>
          <w:rFonts w:ascii="Times New Roman" w:eastAsia="Times New Roman" w:hAnsi="Times New Roman" w:cs="Times New Roman"/>
          <w:color w:val="212121"/>
          <w:highlight w:val="white"/>
        </w:rPr>
        <w:t>64103.00</w:t>
      </w:r>
      <w:r w:rsidR="00A128A1">
        <w:rPr>
          <w:rFonts w:ascii="Times New Roman" w:eastAsia="Times New Roman" w:hAnsi="Times New Roman" w:cs="Times New Roman"/>
          <w:color w:val="212121"/>
          <w:highlight w:val="white"/>
        </w:rPr>
        <w:t>0037</w:t>
      </w:r>
      <w:r>
        <w:rPr>
          <w:rFonts w:ascii="Times New Roman" w:eastAsia="Times New Roman" w:hAnsi="Times New Roman" w:cs="Times New Roman"/>
          <w:color w:val="212121"/>
          <w:highlight w:val="white"/>
        </w:rPr>
        <w:t>/202</w:t>
      </w:r>
      <w:r w:rsidR="00A128A1">
        <w:rPr>
          <w:rFonts w:ascii="Times New Roman" w:eastAsia="Times New Roman" w:hAnsi="Times New Roman" w:cs="Times New Roman"/>
          <w:color w:val="212121"/>
          <w:highlight w:val="white"/>
        </w:rPr>
        <w:t>5</w:t>
      </w:r>
      <w:r>
        <w:rPr>
          <w:rFonts w:ascii="Times New Roman" w:eastAsia="Times New Roman" w:hAnsi="Times New Roman" w:cs="Times New Roman"/>
          <w:color w:val="212121"/>
          <w:highlight w:val="white"/>
        </w:rPr>
        <w:t>-</w:t>
      </w:r>
      <w:r w:rsidR="00A128A1">
        <w:rPr>
          <w:rFonts w:ascii="Times New Roman" w:eastAsia="Times New Roman" w:hAnsi="Times New Roman" w:cs="Times New Roman"/>
          <w:color w:val="212121"/>
          <w:highlight w:val="white"/>
        </w:rPr>
        <w:t>29</w:t>
      </w:r>
      <w:r>
        <w:rPr>
          <w:rFonts w:ascii="Times New Roman" w:eastAsia="Times New Roman" w:hAnsi="Times New Roman" w:cs="Times New Roman"/>
          <w:color w:val="000000"/>
        </w:rPr>
        <w:t>)</w:t>
      </w:r>
    </w:p>
    <w:p w:rsidR="00181559" w:rsidRDefault="00C94481">
      <w:pPr>
        <w:keepNext/>
        <w:keepLines/>
        <w:numPr>
          <w:ilvl w:val="0"/>
          <w:numId w:val="2"/>
        </w:numPr>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CONDIÇÕES GERAIS DA CONTRATAÇÃO</w:t>
      </w:r>
    </w:p>
    <w:p w:rsidR="00181559" w:rsidRDefault="003E2530" w:rsidP="003E2530">
      <w:p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1.1. </w:t>
      </w:r>
      <w:r w:rsidR="00C94481">
        <w:rPr>
          <w:rFonts w:ascii="Times New Roman" w:eastAsia="Times New Roman" w:hAnsi="Times New Roman" w:cs="Times New Roman"/>
          <w:color w:val="000000"/>
        </w:rPr>
        <w:t>Aquisição de</w:t>
      </w:r>
      <w:r w:rsidR="00C94481">
        <w:rPr>
          <w:rFonts w:ascii="Times New Roman" w:eastAsia="Times New Roman" w:hAnsi="Times New Roman" w:cs="Times New Roman"/>
          <w:b/>
          <w:color w:val="FF0000"/>
        </w:rPr>
        <w:t xml:space="preserve"> </w:t>
      </w:r>
      <w:r w:rsidR="00C94481">
        <w:rPr>
          <w:rFonts w:ascii="Times New Roman" w:eastAsia="Times New Roman" w:hAnsi="Times New Roman" w:cs="Times New Roman"/>
          <w:b/>
          <w:color w:val="000000"/>
        </w:rPr>
        <w:t>gêneros alimentícios,</w:t>
      </w:r>
      <w:r w:rsidR="00C94481">
        <w:rPr>
          <w:rFonts w:ascii="Times New Roman" w:eastAsia="Times New Roman" w:hAnsi="Times New Roman" w:cs="Times New Roman"/>
          <w:color w:val="000000"/>
        </w:rPr>
        <w:t xml:space="preserve"> nos termos da tabela abaixo, conforme condições e exigências estabelecidas neste instrumento.</w:t>
      </w:r>
    </w:p>
    <w:tbl>
      <w:tblPr>
        <w:tblStyle w:val="a0"/>
        <w:tblW w:w="10064" w:type="dxa"/>
        <w:jc w:val="center"/>
        <w:tblInd w:w="0" w:type="dxa"/>
        <w:tblLayout w:type="fixed"/>
        <w:tblLook w:val="0400" w:firstRow="0" w:lastRow="0" w:firstColumn="0" w:lastColumn="0" w:noHBand="0" w:noVBand="1"/>
      </w:tblPr>
      <w:tblGrid>
        <w:gridCol w:w="513"/>
        <w:gridCol w:w="3740"/>
        <w:gridCol w:w="850"/>
        <w:gridCol w:w="851"/>
        <w:gridCol w:w="850"/>
        <w:gridCol w:w="851"/>
        <w:gridCol w:w="992"/>
        <w:gridCol w:w="1417"/>
      </w:tblGrid>
      <w:tr w:rsidR="00181559" w:rsidTr="008363B8">
        <w:trPr>
          <w:cantSplit/>
          <w:trHeight w:val="585"/>
          <w:jc w:val="center"/>
        </w:trPr>
        <w:tc>
          <w:tcPr>
            <w:tcW w:w="513" w:type="dxa"/>
            <w:tcBorders>
              <w:top w:val="single" w:sz="8" w:space="0" w:color="00000A"/>
              <w:left w:val="single" w:sz="8" w:space="0" w:color="00000A"/>
              <w:bottom w:val="single" w:sz="8" w:space="0" w:color="00000A"/>
              <w:right w:val="single" w:sz="8" w:space="0" w:color="00000A"/>
            </w:tcBorders>
            <w:shd w:val="clear" w:color="auto" w:fill="auto"/>
            <w:tcMar>
              <w:top w:w="113" w:type="dxa"/>
              <w:left w:w="113" w:type="dxa"/>
              <w:bottom w:w="113" w:type="dxa"/>
              <w:right w:w="113" w:type="dxa"/>
            </w:tcMar>
            <w:vAlign w:val="center"/>
          </w:tcPr>
          <w:p w:rsidR="00181559" w:rsidRDefault="00C94481" w:rsidP="00BD2692">
            <w:pP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Item</w:t>
            </w:r>
          </w:p>
        </w:tc>
        <w:tc>
          <w:tcPr>
            <w:tcW w:w="3740" w:type="dxa"/>
            <w:tcBorders>
              <w:top w:val="single" w:sz="8" w:space="0" w:color="00000A"/>
              <w:left w:val="single" w:sz="8" w:space="0" w:color="00000A"/>
              <w:bottom w:val="single" w:sz="8" w:space="0" w:color="00000A"/>
              <w:right w:val="single" w:sz="8" w:space="0" w:color="00000A"/>
            </w:tcBorders>
            <w:shd w:val="clear" w:color="auto" w:fill="auto"/>
            <w:tcMar>
              <w:top w:w="113" w:type="dxa"/>
              <w:left w:w="113" w:type="dxa"/>
              <w:bottom w:w="113" w:type="dxa"/>
              <w:right w:w="113" w:type="dxa"/>
            </w:tcMar>
            <w:vAlign w:val="center"/>
          </w:tcPr>
          <w:p w:rsidR="00181559" w:rsidRDefault="00C94481" w:rsidP="00BD2692">
            <w:pP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Descrição</w:t>
            </w:r>
          </w:p>
        </w:tc>
        <w:tc>
          <w:tcPr>
            <w:tcW w:w="850" w:type="dxa"/>
            <w:tcBorders>
              <w:top w:val="single" w:sz="8" w:space="0" w:color="00000A"/>
              <w:left w:val="single" w:sz="8" w:space="0" w:color="00000A"/>
              <w:bottom w:val="single" w:sz="8" w:space="0" w:color="00000A"/>
              <w:right w:val="single" w:sz="8" w:space="0" w:color="00000A"/>
            </w:tcBorders>
            <w:shd w:val="clear" w:color="auto" w:fill="auto"/>
            <w:tcMar>
              <w:top w:w="113" w:type="dxa"/>
              <w:left w:w="113" w:type="dxa"/>
              <w:bottom w:w="113" w:type="dxa"/>
              <w:right w:w="113" w:type="dxa"/>
            </w:tcMar>
            <w:vAlign w:val="center"/>
          </w:tcPr>
          <w:p w:rsidR="00181559" w:rsidRDefault="00C94481" w:rsidP="00BD2692">
            <w:pPr>
              <w:jc w:val="center"/>
              <w:rPr>
                <w:rFonts w:ascii="Times New Roman" w:eastAsia="Times New Roman" w:hAnsi="Times New Roman" w:cs="Times New Roman"/>
                <w:b/>
                <w:color w:val="000000"/>
                <w:sz w:val="22"/>
                <w:szCs w:val="22"/>
              </w:rPr>
            </w:pPr>
            <w:proofErr w:type="spellStart"/>
            <w:r>
              <w:rPr>
                <w:rFonts w:ascii="Times New Roman" w:eastAsia="Times New Roman" w:hAnsi="Times New Roman" w:cs="Times New Roman"/>
                <w:b/>
                <w:color w:val="000000"/>
                <w:sz w:val="22"/>
                <w:szCs w:val="22"/>
              </w:rPr>
              <w:t>Catmat</w:t>
            </w:r>
            <w:proofErr w:type="spellEnd"/>
          </w:p>
        </w:tc>
        <w:tc>
          <w:tcPr>
            <w:tcW w:w="851" w:type="dxa"/>
            <w:tcBorders>
              <w:top w:val="single" w:sz="8" w:space="0" w:color="00000A"/>
              <w:left w:val="single" w:sz="8" w:space="0" w:color="00000A"/>
              <w:bottom w:val="single" w:sz="8" w:space="0" w:color="00000A"/>
              <w:right w:val="single" w:sz="8" w:space="0" w:color="00000A"/>
            </w:tcBorders>
            <w:shd w:val="clear" w:color="auto" w:fill="auto"/>
            <w:tcMar>
              <w:top w:w="113" w:type="dxa"/>
              <w:left w:w="113" w:type="dxa"/>
              <w:bottom w:w="113" w:type="dxa"/>
              <w:right w:w="113" w:type="dxa"/>
            </w:tcMar>
            <w:vAlign w:val="center"/>
          </w:tcPr>
          <w:p w:rsidR="00181559" w:rsidRDefault="00C94481" w:rsidP="00BD2692">
            <w:pP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Und</w:t>
            </w:r>
          </w:p>
        </w:tc>
        <w:tc>
          <w:tcPr>
            <w:tcW w:w="850" w:type="dxa"/>
            <w:tcBorders>
              <w:top w:val="single" w:sz="8" w:space="0" w:color="00000A"/>
              <w:left w:val="single" w:sz="8" w:space="0" w:color="00000A"/>
              <w:bottom w:val="single" w:sz="8" w:space="0" w:color="00000A"/>
              <w:right w:val="single" w:sz="8" w:space="0" w:color="00000A"/>
            </w:tcBorders>
            <w:shd w:val="clear" w:color="auto" w:fill="auto"/>
            <w:tcMar>
              <w:top w:w="113" w:type="dxa"/>
              <w:left w:w="113" w:type="dxa"/>
              <w:bottom w:w="113" w:type="dxa"/>
              <w:right w:w="113" w:type="dxa"/>
            </w:tcMar>
            <w:vAlign w:val="center"/>
          </w:tcPr>
          <w:p w:rsidR="00181559" w:rsidRDefault="00C94481" w:rsidP="00BD2692">
            <w:pP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 xml:space="preserve">Quant </w:t>
            </w:r>
            <w:proofErr w:type="spellStart"/>
            <w:r>
              <w:rPr>
                <w:rFonts w:ascii="Times New Roman" w:eastAsia="Times New Roman" w:hAnsi="Times New Roman" w:cs="Times New Roman"/>
                <w:b/>
                <w:color w:val="000000"/>
                <w:sz w:val="22"/>
                <w:szCs w:val="22"/>
              </w:rPr>
              <w:t>mín</w:t>
            </w:r>
            <w:proofErr w:type="spellEnd"/>
          </w:p>
        </w:tc>
        <w:tc>
          <w:tcPr>
            <w:tcW w:w="851" w:type="dxa"/>
            <w:tcBorders>
              <w:top w:val="single" w:sz="8" w:space="0" w:color="00000A"/>
              <w:left w:val="single" w:sz="8" w:space="0" w:color="00000A"/>
              <w:bottom w:val="single" w:sz="8" w:space="0" w:color="00000A"/>
              <w:right w:val="single" w:sz="8" w:space="0" w:color="00000A"/>
            </w:tcBorders>
            <w:shd w:val="clear" w:color="auto" w:fill="auto"/>
            <w:tcMar>
              <w:top w:w="113" w:type="dxa"/>
              <w:left w:w="113" w:type="dxa"/>
              <w:bottom w:w="113" w:type="dxa"/>
              <w:right w:w="113" w:type="dxa"/>
            </w:tcMar>
            <w:vAlign w:val="center"/>
          </w:tcPr>
          <w:p w:rsidR="00181559" w:rsidRDefault="00C94481" w:rsidP="00BD2692">
            <w:pP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 xml:space="preserve">Quant </w:t>
            </w:r>
            <w:proofErr w:type="spellStart"/>
            <w:r>
              <w:rPr>
                <w:rFonts w:ascii="Times New Roman" w:eastAsia="Times New Roman" w:hAnsi="Times New Roman" w:cs="Times New Roman"/>
                <w:b/>
                <w:color w:val="000000"/>
                <w:sz w:val="22"/>
                <w:szCs w:val="22"/>
              </w:rPr>
              <w:t>máx</w:t>
            </w:r>
            <w:proofErr w:type="spellEnd"/>
          </w:p>
        </w:tc>
        <w:tc>
          <w:tcPr>
            <w:tcW w:w="992" w:type="dxa"/>
            <w:tcBorders>
              <w:top w:val="single" w:sz="8" w:space="0" w:color="00000A"/>
              <w:left w:val="single" w:sz="8" w:space="0" w:color="00000A"/>
              <w:bottom w:val="single" w:sz="8" w:space="0" w:color="00000A"/>
              <w:right w:val="single" w:sz="8" w:space="0" w:color="00000A"/>
            </w:tcBorders>
            <w:shd w:val="clear" w:color="auto" w:fill="auto"/>
            <w:tcMar>
              <w:top w:w="113" w:type="dxa"/>
              <w:left w:w="113" w:type="dxa"/>
              <w:bottom w:w="113" w:type="dxa"/>
              <w:right w:w="113" w:type="dxa"/>
            </w:tcMar>
            <w:vAlign w:val="center"/>
          </w:tcPr>
          <w:p w:rsidR="00181559" w:rsidRDefault="00C94481" w:rsidP="00BD2692">
            <w:pP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Valor unitário</w:t>
            </w:r>
          </w:p>
        </w:tc>
        <w:tc>
          <w:tcPr>
            <w:tcW w:w="1417" w:type="dxa"/>
            <w:tcBorders>
              <w:top w:val="single" w:sz="8" w:space="0" w:color="00000A"/>
              <w:left w:val="single" w:sz="8" w:space="0" w:color="00000A"/>
              <w:bottom w:val="single" w:sz="8" w:space="0" w:color="00000A"/>
              <w:right w:val="single" w:sz="8" w:space="0" w:color="00000A"/>
            </w:tcBorders>
            <w:shd w:val="clear" w:color="auto" w:fill="auto"/>
            <w:tcMar>
              <w:top w:w="113" w:type="dxa"/>
              <w:left w:w="113" w:type="dxa"/>
              <w:bottom w:w="113" w:type="dxa"/>
              <w:right w:w="113" w:type="dxa"/>
            </w:tcMar>
            <w:vAlign w:val="center"/>
          </w:tcPr>
          <w:p w:rsidR="00181559" w:rsidRDefault="00C94481" w:rsidP="00BD2692">
            <w:pP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Valor total</w:t>
            </w:r>
          </w:p>
        </w:tc>
      </w:tr>
      <w:tr w:rsidR="004973D6" w:rsidTr="008363B8">
        <w:trPr>
          <w:cantSplit/>
          <w:trHeight w:val="1335"/>
          <w:jc w:val="center"/>
        </w:trPr>
        <w:tc>
          <w:tcPr>
            <w:tcW w:w="513" w:type="dxa"/>
            <w:tcBorders>
              <w:top w:val="single" w:sz="6" w:space="0" w:color="000000"/>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w:t>
            </w:r>
          </w:p>
        </w:tc>
        <w:tc>
          <w:tcPr>
            <w:tcW w:w="3740" w:type="dxa"/>
            <w:tcBorders>
              <w:top w:val="single" w:sz="6" w:space="0" w:color="000000"/>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AÇAFRÃO DA TERRA, EM PÓ (CÚRCUMA): cor amarela, apresentação em pó, isento de sujidades e outros materiais estranhos, sabor e aroma próprio, uso culinário.</w:t>
            </w:r>
          </w:p>
        </w:tc>
        <w:tc>
          <w:tcPr>
            <w:tcW w:w="850"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463857</w:t>
            </w:r>
          </w:p>
        </w:tc>
        <w:tc>
          <w:tcPr>
            <w:tcW w:w="851" w:type="dxa"/>
            <w:tcBorders>
              <w:top w:val="single" w:sz="7" w:space="0" w:color="000000"/>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proofErr w:type="gramStart"/>
            <w:r w:rsidRPr="00095C0D">
              <w:rPr>
                <w:rFonts w:ascii="Times New Roman" w:hAnsi="Times New Roman" w:cs="Times New Roman"/>
                <w:sz w:val="22"/>
                <w:szCs w:val="22"/>
              </w:rPr>
              <w:t>kg</w:t>
            </w:r>
            <w:proofErr w:type="gramEnd"/>
          </w:p>
        </w:tc>
        <w:tc>
          <w:tcPr>
            <w:tcW w:w="850" w:type="dxa"/>
            <w:tcBorders>
              <w:top w:val="single" w:sz="6" w:space="0" w:color="000000"/>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000000"/>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60</w:t>
            </w:r>
          </w:p>
        </w:tc>
        <w:tc>
          <w:tcPr>
            <w:tcW w:w="992"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R$20,21</w:t>
            </w:r>
          </w:p>
        </w:tc>
        <w:tc>
          <w:tcPr>
            <w:tcW w:w="1417"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R$ 1.212,60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ÁGUA MINERAL SEM GÁS, EM COPO DE POLIETILENO: embalagem primária copo de polietileno lacrado com tampa aluminizada.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445484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Copo 200 ml</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700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R$0,59</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R$ 410,67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ÁGUA MINERAL COM GÁS, EM GARRAFA PET COM TAMPA DE ROSCA: natural com gás, embalagem primária garrafa pet vedada com tampa de rosca, cada unidade contendo 500 ml.</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445479</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Garrafa 500 ml</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R$1,36</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R$ 272,67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ÁGUA MINERAL SEM GÁS, EM GARRAFA PET COM TAMPA DE ROSCA: natural sem gás, embalagem primária garrafa pet vedada com tampa de rosca, cada unidade contendo 500 ml.</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445484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Garrafa 500 ml</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R$1,16</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R$ 928,00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5</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ALHO DESCASCADO: embalado em balde de plástico, pesando 1 kg, apresentação descascado, com aspecto cor, cheiro e sabor próprio, qualidade firme e intacto, livre de fertilizantes, sem casca, sem sujeiras.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463853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R$21,84</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R$ 8.736,00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ALIMENTO ACHOCOLATADO: fortificado, composto de açúcar, cacau em pó, maltodextrina, sal, vitaminas, estabilizantes e aromatizantes, com cor marrom, sabor chocolate e odor característico.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463555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Lata 400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R$4,65</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R$ 1.396,00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7</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AMIDO DE MILHO: produto amilaceo extraído do milho, com aspecto, cor, cheiro e sabor próprio, isento de insetos, impurezas, odores e sabores estranhos ou impróprios, embalagem primária saco de papel impermeável devidamente lacrado, embalagem secundária, caixa de papel cartão.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459077</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500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R$6,98</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R$ 5.586,67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APRESUNTADO: cozido, obtido de partes do suíno sadio, com aspecto, cor cheiro e sabor próprio, isento de sujidades, parasitas e larvas, acondicionado em saco plástico transparente e atóxico.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447765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1200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R$23,45</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R$ 28.144,00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9</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AVEIA INTEGRAL EM FLOCOS: isenta de insetos, impurezas, materiais e odores estranhos ou impróprios, admitindo umidade máxima de 15% por peso, embalagem primária atóxica, hermeticamente fechada.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235765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proofErr w:type="spellStart"/>
            <w:r w:rsidRPr="00095C0D">
              <w:rPr>
                <w:rFonts w:ascii="Times New Roman" w:hAnsi="Times New Roman" w:cs="Times New Roman"/>
                <w:sz w:val="22"/>
                <w:szCs w:val="22"/>
              </w:rPr>
              <w:t>Emb</w:t>
            </w:r>
            <w:proofErr w:type="spellEnd"/>
            <w:r w:rsidRPr="00095C0D">
              <w:rPr>
                <w:rFonts w:ascii="Times New Roman" w:hAnsi="Times New Roman" w:cs="Times New Roman"/>
                <w:sz w:val="22"/>
                <w:szCs w:val="22"/>
              </w:rPr>
              <w:t xml:space="preserve"> 500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R$4,97</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R$ 1.491,00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AZEITE DE OLIVA: com acidez máxima de 0,8%, isento de oxidação, sujidades e materiais estranhos, embalado em embalagem primária apropriada, hermeticamente fechada e atóxica. Embalagem 250 ml.</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463696</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250 ml</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R$31,53</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R$ 3.153,00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11</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BARRA DE CEREAL, SABOR CASTANHA DE CAJU COM COBERTURA DE CHOCOLATE: composta de flocos de cereais, xarope de glicose, castanha de caju, cobertura sabor chocolate, açúcar, gordura de palma, antioxidantes, corante e aromatizante, barra pesando no mínimo 20 gramas, embalada em material flexível laminado pet/bopp metalizado e hermeticamente fechada. Unidade de fornecimento: Caixa contendo 24 barras, cada barra de cereal com no mínimo 20 gramas.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eastAsia="Times New Roman" w:hAnsi="Times New Roman" w:cs="Times New Roman"/>
                <w:sz w:val="22"/>
                <w:szCs w:val="22"/>
              </w:rPr>
              <w:t>463968</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24und</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R$22,62</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R$ 2.262,00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12</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BATATA FRITA, SABOR NATURAL, TIPO PALHA: composição básica gordura vegetal, sal refinado, sabor natural, palha, pesando 1 kg, acondicionado em embalagem plástica, atóxica, flexível, termo selada.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463707</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R$22,44</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R$ 11.221,67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13</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BEBIDA ISOTÔNICA, SABOR LARANJA: composta de água, carboidratos, cloreto de sódio, citrato de sódio, fosfato de potássio, acidulante, aromatizante, corantes artificiais e outras substancias permitidas e embalagem primária garrafa plástica fechada. Unidade de fornecimento: garrafa plástica de 500 ml.</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600280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Garrafa 500ml</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R$5,61</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R$ 3.366,00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14</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BISCOITO COM SAL, TIPO ÁGUA E SAL: tipo agua e sal, composto de farinha de trigo enriquecida com ferro e ácido fólico, gordura vegetal, açúcar, amido, sal, fermentos químicos e outros ingredientes permitidos, embalagem primária filme bopp metalizado hermeticamente fechado e atóxico. Pacote contendo no mínimo 360 gramas.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333329</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360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350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R$6,11</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R$ 2.137,33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15</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BISCOITO COM SAL, SABOR QUEIJO: tipo lanche sabor queijo, com textura crocante, composto de farinha de trigo enriquecida com ferro e ácido fólico, gordura vegetal, açúcar, soro de leite em pó, sal, extrato de malte, fermentos químicos e outros ingredientes permitidos, embalagem primária filme plástico, hermeticamente fechado e atóxico. Pacote contendo no mínimo 110 gramas.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eastAsia="Times New Roman" w:hAnsi="Times New Roman" w:cs="Times New Roman"/>
                <w:sz w:val="22"/>
                <w:szCs w:val="22"/>
              </w:rPr>
              <w:t>465596</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110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R$3,88</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R$ 3.104,00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16</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BISCOITO DOCE, SEM RECHEIO, TIPO MAISENA: tipo maisena, composto de farinha de trigo enriquecida com ferro e ácido fólico, açúcar, gordura vegetal, amido, sal, fermento químico, aromatizante e outros ingredientes permitidos, embalagem primária filme bopp metalizado, hermeticamente fechado e atóxico. Pacote contendo no mínimo 360 gramas.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323480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360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150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R$5,34</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R$ 801,50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17</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BISCOITO DOCE, COM RECHEIO, SABOR CHOCOLATE, EMBALAGEM INDIVIDUAL, COM NO MÍNIMO 110 GRAMAS: sabor chocolate, composto de farinha de trigo enriquecida com ferro e ácido fólico, açúcar, gordura vegetal, amido, cacau em pó, leite em pó, sal, fermento químico, estabilizante, emulsificante e outros ingredientes permitidos, embalagem primária filme bopp metalizado atóxico e lacrado.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353190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110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R$2,56</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R$ 1.024,00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18</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BISCOITO DOCE COM RECHEIO, SABOR MORANGO, EMBALAGEM INDIVIDUAL, COM NO MÍNIMO 110 GRAMAS: sabor morango, composto de farinha de trigo enriquecida com ferro e ácido fólico, açúcar, gordura vegetal, amido, sal, fermento químico, estabilizante, aromatizante, emulsificante e outros ingredientes permitidos, embalagem primária filme bopp metalizado atóxico e lacrado.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353191</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110g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R$3,16</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R$ 1.262,67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19</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BOMBOM, TIPO SONHO DE VALSA: bombom, material chocolate, tipo sonho de valsa, embalado individualmente em filme bopp, peso no mínimo 20 gramas, devendo ser entregue em embalagem contendo identificação do produto, peso líquido, nome e telefone do fornecedor.</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464004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R$45,78</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R$ 9.156,00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CATCHUP: composto a base de polpa e suco de tomate, sal, açúcar e outras substancias permitidas, admitindo no mínimo 35% de resíduos secos, de consistência cremosa, cor, cheiro e sabor próprio, isento de sujidades e seus ingredientes de preparo em perfeito estado de conservação.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459665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R$7,67</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R$ 3.066,67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21</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ACHOCOLATADO GRANULADO: composto de açúcar, gordura vegetal, glicose em pó, cacau em pó e emulsificantes, embalagem primária plástica hermeticamente fechada e atóxica. Unidade de fornecimento: embalagem 1 kg.</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463548</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1 Kg</w:t>
            </w:r>
          </w:p>
        </w:tc>
        <w:tc>
          <w:tcPr>
            <w:tcW w:w="85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150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R$13,42</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R$ 2.012,50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22</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COCO RALADO: puro, parcialmente desidratado, processo tecnológico adequado, com umidade máxima de 4% e lipídios entre 35% a 60%, isento de impurezas, sujidades e ranço, com embalagem apropriada.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421669</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220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R$28,49</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R$ 6.267,07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23</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COENTRO: folhas com coloração verde brilhante e forte aroma, devendo o lote apresentar homogeneidade visual de tamanho e coloração, não apresentar defeitos como murcho ou amarelado.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463876</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R$14,61</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R$ 1.461,33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24</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COLORAU: cor vermelha, apresentação em pó, isento de sujidades e outros materiais estranhos, sabor e aroma próprio, uso culinário, embalagem primária atóxica e lacrada. Unidade de fornecimento: embalagem com 500 gramas.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440594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Unidade 500g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R$5,95</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R$ 1.190,00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25</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CREME DE CONFEITEIRO, MISTURA ALIMENTÍCIA, INGREDIENTES: amido de milho, açúcar e aromatizante, sabor: natural, aplicação: panificação e confeitos, o lote deverá apresentar homogeneidade visual de tamanho, não apresentar os defeitos podridão e ferimento, devendo ser entregue em embalagem contendo identificação do produto, peso líquido, nome e telefone do fornecedor. Unidade de fornecimento: embalagem 1 kg.</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443371</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110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R$8,16</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R$ 897,97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26</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CREME DE LEITE: apresentando teor de matéria gorda mínima de 25%, embalado em caixa cartonada aluminizada.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446533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200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2500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R$3,69</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R$ 9.225,00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27</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DOCE DE FRUTA EM CALDA SABOR PÊSSEGO, EMBALAGEM LATA: sabor pêssego, sem caroço, composto de pêssego, água, açúcar e outros ingredientes permitidos, sem adição de aromatizante e corante artificial, com peso líquido no mínimo de 800 g.</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462684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800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150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R$13,20</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R$ 1.980,00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28</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DOCE EM TABLETE, PESO 20 G, TIPO AMENDOIM, APRESENTAÇÃO EMBALAGEM INDIVIDUAL: doce de leite, misto com amendoim, tablete, composto de leite, açúcar, amendoim e outros ingredientes permitidos, apresentando consistência firme, cor castanho caramelado e sabor doce característico, isento de sabores e odores estranhos, embalagem primária plástica, lacrada, embalados individualmente. Unidade de fornecimento: embalagem com 50 unidades, cada unidade com no mínimo 20 g.</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481267</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w:t>
            </w:r>
          </w:p>
          <w:p w:rsidR="004973D6" w:rsidRPr="00095C0D" w:rsidRDefault="004973D6" w:rsidP="00BD2692">
            <w:pPr>
              <w:jc w:val="center"/>
              <w:rPr>
                <w:rFonts w:ascii="Times New Roman" w:hAnsi="Times New Roman" w:cs="Times New Roman"/>
                <w:sz w:val="22"/>
                <w:szCs w:val="22"/>
              </w:rPr>
            </w:pPr>
            <w:proofErr w:type="gramStart"/>
            <w:r w:rsidRPr="00095C0D">
              <w:rPr>
                <w:rFonts w:ascii="Times New Roman" w:hAnsi="Times New Roman" w:cs="Times New Roman"/>
                <w:sz w:val="22"/>
                <w:szCs w:val="22"/>
              </w:rPr>
              <w:t>pote</w:t>
            </w:r>
            <w:proofErr w:type="gramEnd"/>
            <w:r w:rsidRPr="00095C0D">
              <w:rPr>
                <w:rFonts w:ascii="Times New Roman" w:hAnsi="Times New Roman" w:cs="Times New Roman"/>
                <w:sz w:val="22"/>
                <w:szCs w:val="22"/>
              </w:rPr>
              <w:t xml:space="preserve"> 50 unidades</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R$18,70</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R$ 5.609,00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29</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DOCE EM BARRA, TIPO COCADA, EM PEDAÇOS INDIVIDUAIS: composto de coco, açúcar refinado, água, leite condensado, sem cobertura, denominada cocada, aspecto cor, aroma e sabor próprio, isento de sujidades e parasitos.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474393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1Kg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250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R$22,57</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R$ 5.643,33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30</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DOCE DE MASSA, SABOR GOIABADA: composto de goiaba, açúcar, pectina, acidulante e outros ingredientes permitidos, com consistência firme para corte, cor avermelhada, sabor e odor característicos, sem sujidades e materiais estranhos, embalagem primária hermeticamente fechada e atóxica.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462679</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Lata 600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R$8,36</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R$ 1.672,67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31</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ESSÊNCIA ARTIFICIAL SABOR BAUNILHA: embalagem primária frasco plástico, atóxico, hermeticamente fechado. Unidade de fornecimento: frasco 30 ml.</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461222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Frasco 30ml</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250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R$4,01</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R$ 1.002,50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32</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EXTRATO DE TOMATE: composto de tomate, sal, açúcar, sem pele, sem sementes e corantes artificiais, isento de sujidades e outros materiais estranhos, embalagem primária hermeticamente fechada e atóxica, unidade de fornecimento, embalagem com no mínimo 1 Kg.</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459670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R$14,16</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R$ 8.498,00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33</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EXTRATO DE TOMATE: composto de tomate, sal, açúcar, sem pele, sem sementes e corantes artificiais, isento de sujidades e outros materiais estranhos, embalagem primária hermeticamente fechada e atóxica.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459670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4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R$25,79</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R$ 5.158,67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34</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FARINHA DE MANDIOCA: ligeiramente torrada, grupo seca, classe fina, tipo 1, isenta de insetos, matérias estranhas, mofo ou fermentação, devendo se apresentar limpa e seca, embalagem primária saco plástico atóxico e hermeticamente fechado.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458919</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R$7,22</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R$ 7.216,67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35</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FARINHA DE MANDIOCA: seca, biju, tipo único, isenta de sujidades, parasitas, larvas e outros materiais estranhos, embalagem primária atóxica.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458924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R$10,59</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R$ 4.236,00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36</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FARINHA DE TRIGO: tipo 1, fortificada com ferro e ácido fólico, devendo se apresentar limpa, seca, com umidade máxima de 15%, isenta de insetos, odores ou sabores estranhos ou impróprios, embalagem primária saco e atóxico.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460263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25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R$94,96</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R$ 75.968,00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37</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FERMENTO BIOLÓGICO: tipo granulado, seco instantâneo, composto de saccharomyces cerevisiae e agente e reidratação, acondicionado em embalagem apropriada para alimentos. Unidade de fornecimento: embalagem de 500 gramas.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459596</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500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R$19,53</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R$ 19.533,33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38</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FUBÁ DE MILHO: obtido do grão de milho moído, fortificado com ferro e ácido fólico, de cor amarela, devendo se apresentar limpo e seco, com umidade máxima de 15%, com aspecto, cor, cheiro e sabor próprios, com ausência de mofo e ranço, isento de insetos, odores ou sabores estranhos ou impróprios, embalagem primária saco plástico, transparente e atóxico.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459013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R$4,45</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R$ 1.335,00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39</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GLICOSE DE MILHO: xarope, açúcar invertido, fins alimentícios, utilizada em produtos de panificação, produzida a base de milho, embalagem primária hermeticamente fechada e atóxica, com cor, sabor e aroma próprio.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223049</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Frasco 350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25</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R$18,25</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R$ 456,25</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IOGURTE LÍQUIDO COM POLPA DE FRUTAS, MORANGO VITAMINADO: simples, elaborado a partir de leite reconstituído, polpa de frutas, açúcar, fermentos lácteos, contem vitaminas, conservante, aromatizante, espessante, conservado e transportado a uma temperatura entre 1 e 10 graus centigrados, embalagem primária garrafa plástica e lacrada contendo 900 gramas.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446704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900g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R$9,75</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R$ 3.900,00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41</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LEITE CONDENSADO: composto de leite integral, açúcar e lactose (tradicional), consistência cremosa e textura homogênea, embalagem primária atóxica, devidamente lacrada e embalagem secundaria apropriada.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464014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Caixa 395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1500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R$6,90</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R$ 10.345,00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42</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LINGUIÇA DEFUMADA, TIPO PAIO: preparada com carne de porco, não mista, condimentos, com aspecto normal e firme, sabor próprio, isenta de sujidades, parasitas e larvas, mantida em temperatura e refrigeração adequadas, acondicionada em embalagem plástica, flexível, termosselada a vácuo (embalagem primária).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449182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R$48,17</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R$ 24.085,00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43</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MAIONESE: emulsão cremosa tradicional, composta de água, óleo vegetal, ovos, amido modificado, vinagre, açúcar, sal, suco de limão, acidulante, conservador, estabilizante; corante e aromatizante, de consistência cremosa, com cor amarelo claro, com cheiro e sabor próprio, isenta de sujidades e seus ingredientes de preparo em perfeito estado de conservação, acondicionada em embalagem atóxica e lacrada.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326927</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3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250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R$21,54</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R$ 5.385,83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MASSA ALIMENTÍCIA SECA PRÉ-COZIDA, FORMATO LASANHA: transportada e conservada a temperatura ambiente, composta de sêmola de trigo enriquecida com ácido fólico e ferro, corantes naturais, embalagem primária apropriada e hermeticamente fechada.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459004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500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R$10,50</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R$ 6.298,00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45</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MASSA ALIMENTÍCIA FRESCA, PARA PASTEL: massa fresca; transportada e conservada a temperatura entre 1 e 10°c, composta de farinha de trigo enriquecida com ácido fólico e ferro, água, sal, ovo e conservante, embalagem primária plástica e hermeticamente fechada. MASSA ALIMENTÍCIA FRESCA, PARA PASTEL: massa fresca; transportada e conservada a temperatura entre 1 e 10°c, composta de farinha de trigo enriquecida com ácido fólico e ferro, água, sal, ovo e conservante, embalagem primária plástica e hermeticamente fechada.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462245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R$15,56</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R$ 4.669,00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MELHORADOR DE FARINHA PARA PANIFICAÇÃO, EM PÓ: composto de amido, estabilizante, ácido ascórbico, enzima alfa amilase, embalagem primária apropriada e lacrada.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467538</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R$23,22</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R$ 6.965,00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47</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MILHO VERDE EM CONSERVA: simples, inteiro, grão inteiros, imerso em líquido de cobertura, tamanho e coloração uniforme, acondicionado em lata.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462824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2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120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R$33,24</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R$ 3.988,80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48</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MISTURA PARA PREPARO DE BOLO, SABOR BAUNILHA: composta de farinha de trigo enriquecida com ferro e ácido fólico, açúcar, gordura vegetal, fermentos químicos, sal, estabilizante, aroma e outros ingredientes permitidos, embalagem primária pacote plástico e hermeticamente fechado.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272887</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Saco 5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R$47,27</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R$ 9.454,00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49</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MISTURA PARA PREPARO DE BOLO, SABOR CHOCOLATE: composta de farinha de trigo enriquecida com ferro e ácido fólico, açúcar, gordura vegetal, fermentos químicos, sal, estabilizante, aroma e outros ingredientes permitidos, embalagem primária pacote plástico e hermeticamente fechado.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272886</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Saco 5kg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R$49,85</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R$ 9.970,00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50</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MISTURA PARA O PREPARO DE PUDIM, SABORES VARIADOS: composta de açúcar, amido de milho, leite em pó, cacau em pó, sal, corante, aromatizante e outros ingredientes permitidos, embalagem primária apropriada, embalagem apropriada e fechada. Unidade de fornecimento: embalagem 1 kg. Sabor será definido no momento do empenho.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462751</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R$14,07</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R$ 4.221,00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51</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MOLHO PARA SALADA, SABOR LIMÃO: composto de óleo vegetal, água, vinagre, sal, cebola, cebolinha, aroma natural de limão, alho e salsa, pimenta do reino, espessante, conservador, acidulante e outros ingredientes permitidos embalagem primária frasco plástico, atóxico e lacrado. Unidade de fornecimento: frasco 150 ml.</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467430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Frasco 150 ml</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R$3,99</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R$ 797,33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52</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MOLHO DE PIMENTA: composto de água, polpa de pimenta malagueta, vinagre, sal, especiarias e outros ingredientes permitidos, de consistência líquida, isento de sujidades e outros materiais estranhos, embalagem primária atóxica e lacrada.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241553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Frasco 150 ml</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R$2,68</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R$ 1.073,33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53</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MOLHO DE SHOYU: tradicional, composto de água, sal, soja, milho, açúcar, corante e outros ingredientes permitidos, apresentado na forma líquida, cor marrom escuro, isento de sujidades e materiais estranhos, embalagem primária frasco plástico transparente, atóxico e lacrado, com tampa inviolável e fechada.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459653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1 litro</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R$9,04</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R$ 4.518,33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54</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MOLHO DE TOMATE: composto de tomate sem pele e sem sementes, cebola, açúcar, sal, condimentos, realçado de sabor e outros ingredientes permitidos, isento de sujidades e outros materiais estranhos, embalagem primária hermeticamente fechada e atóxica.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459678</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R$6,85</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R$ 2.738,67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55</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MOLHO DE TOMATE: composto de tomate sem pele e sem sementes, cebola, açúcar, sal, condimentos, realçado de sabor e outros ingredientes permitidos, isento de sujidades e outros materiais estranhos, embalagem primária hermeticamente fechada e atóxica.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459670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proofErr w:type="spellStart"/>
            <w:r w:rsidRPr="00095C0D">
              <w:rPr>
                <w:rFonts w:ascii="Times New Roman" w:hAnsi="Times New Roman" w:cs="Times New Roman"/>
                <w:sz w:val="22"/>
                <w:szCs w:val="22"/>
              </w:rPr>
              <w:t>Embala-gem</w:t>
            </w:r>
            <w:proofErr w:type="spellEnd"/>
            <w:r w:rsidRPr="00095C0D">
              <w:rPr>
                <w:rFonts w:ascii="Times New Roman" w:hAnsi="Times New Roman" w:cs="Times New Roman"/>
                <w:sz w:val="22"/>
                <w:szCs w:val="22"/>
              </w:rPr>
              <w:t xml:space="preserve"> 4Kg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250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R$28,33</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R$ 7.081,67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56</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MORTADELA SUÍNA: tipo de preparação: cozido, sem toucinho, isenta de sujidades e outras substancias estranhas a sua composição, acondicionada em saco plástico, resfriada, atóxico, peça única.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447784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R$11,40</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R$ 11.400,00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57</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ÓLEO EMULSIFICANTE: aplicação produtos de panificação, embalagem hermeticamente fechada, atóxica, isenta de sujidades, cor e aroma próprios. Unidade de fornecimento: galão 5 litros.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298918</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Unidade 5L</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R$126,72</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R$ 6.336,17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58</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ORÉGANO: obtido de folhas e talos do espécime genuíno, com coloração verde pardacenta, granulado, isento de sujidades e outros materiais estranhos, embalagem primária saco plástico atóxico e lacrado. Unidade de fornecimento: pacote 1 Kg.</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463914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R$23,06</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R$ 2.306,00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59</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PÃO DE QUEIJO, CONGELADO, TIPO COQUETEL: mini, composto de água, fécula de mandioca, polvilho, ovo pasteurizado, óleo de soja, margarina, queijo, sal, leite em pó, soro de leite, aromatizante e outros ingredientes permitidos, pesando 15 gramas cada unidade, transportado e conservado em temperatura não superior a -18ºC, embalagem primária saco plástico, atóxico e lacrado.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460493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R$19,77</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R$ 3.954,67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60</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POLPA DE FRUTA CONGELADA, SABOR ABACAXI: obtida da parte comestível da fruta, sabor e aroma característicos, conservada e transportada em temperatura recomendada de -5ºC até -18ºC, embalagem primária plástica e atóxica.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304985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R$6,99</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R$ 419,60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61</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POLPA DE FRUTA CONGELADA, SABOR GOIABA: obtida da parte comestível da fruta, com teor mínimo de sólidos solúveis de 7º brix, sabor levemente ácido característico, aroma próprio e cor variando de branco a vermelho, conservada e transportada em temperatura recomendada de -5ºC até -18ºC, embalagem primária plástica e atóxica.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217794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90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R$8,29</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R$ 746,10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62</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POLPA DE FRUTA CONGELADA, SABOR ACEROLA: obtida da parte comestível da fruta, com teor mínimo de sólidos solúveis de 7º brix, sabor levemente ácido característico, aroma próprio e cor variando de branco a vermelho, conservada e transportada em temperatura recomendada de -5ºC até -18ºC, embalagem primária plástica e atóxica.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464484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R$12,11</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R$ 968,53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63</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POLVILHO DOCE: branco, embalagem primária saco plástico transparente, atóxico, isento de sujidades e outros materiais estranhos.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459079</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proofErr w:type="spellStart"/>
            <w:r w:rsidRPr="00095C0D">
              <w:rPr>
                <w:rFonts w:ascii="Times New Roman" w:hAnsi="Times New Roman" w:cs="Times New Roman"/>
                <w:sz w:val="22"/>
                <w:szCs w:val="22"/>
              </w:rPr>
              <w:t>Emb</w:t>
            </w:r>
            <w:proofErr w:type="spellEnd"/>
            <w:r w:rsidRPr="00095C0D">
              <w:rPr>
                <w:rFonts w:ascii="Times New Roman" w:hAnsi="Times New Roman" w:cs="Times New Roman"/>
                <w:sz w:val="22"/>
                <w:szCs w:val="22"/>
              </w:rPr>
              <w:t xml:space="preserve"> 500g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R$7,32</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R$ 3.658,33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64</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POLVILHO AZEDO: branco, embalagem primária saco plástico transparente, atóxico, isento de sujidades e outros materiais estranhos.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459080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proofErr w:type="spellStart"/>
            <w:r w:rsidRPr="00095C0D">
              <w:rPr>
                <w:rFonts w:ascii="Times New Roman" w:hAnsi="Times New Roman" w:cs="Times New Roman"/>
                <w:sz w:val="22"/>
                <w:szCs w:val="22"/>
              </w:rPr>
              <w:t>Emb</w:t>
            </w:r>
            <w:proofErr w:type="spellEnd"/>
            <w:r w:rsidRPr="00095C0D">
              <w:rPr>
                <w:rFonts w:ascii="Times New Roman" w:hAnsi="Times New Roman" w:cs="Times New Roman"/>
                <w:sz w:val="22"/>
                <w:szCs w:val="22"/>
              </w:rPr>
              <w:t xml:space="preserve"> 500g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R$10,82</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R$ 5.410,00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65</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PÓ PARA PREPARO DE GELATINA, SABOR MORANGO: composto de açúcar, gelatina, sal, reguladores de acidez, aroma artificial de morango, corantes e edulcorantes artificiais e outros ingredientes permitidos, embalagem primária apropriada e hermeticamente fechada.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462717</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900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R$16,50</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R$ 14.850,00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66</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PÓ PARA PREPARO DE GELATINA, SABOR LIMÃO: composto de açúcar, gelatina, sal, reguladores de acidez, aroma artificial de limão, corantes e edulcorantes artificiais e outros ingredientes permitidos, embalagem primária apropriada e hermeticamente fechada.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462713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900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R$15,58</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R$ 14.025,00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67</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PÓ PARA PREPARO DE GELATINA, SABOR FRAMBOESA: composto de açúcar, gelatina, sal, reguladores de acidez, aroma artificial de framboesa, corantes e edulcorantes artificiais e outros ingredientes permitidos, embalagem primária apropriada e hermeticamente fechada.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462710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900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R$14,92</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R$ 13.425,00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68</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PÓ PARA PREPARO DE GELATINA, SEM SABOR: gelatina alimentícia, tipo comum, apresentação pó incolor, edulcorantes artificiais e outros ingredientes permitidos, embalagem primária apropriada e hermeticamente fechada.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462723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320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R$19,60</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R$ 6.270,93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69</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PREPARADO PÓ P/ REFRESCO, SABOR LARANJA, RENDIMENTO 10 LITROS: composto de açúcar, polpa de laranja em pó, acidulante, aromatizante, antiumectante, regulador de acidez, estabilizante, corante e outros ingredientes permitidos, embalagem primária filme plástico, resistente e atóxico.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344276</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R$8,63</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R$ 12.077,33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70</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PREPARADO PÓ P/ REFRESCO, SABOR LIMÃO, RENDIMENTO 10 LITROS: composto de açúcar, polpa de limão em pó, acidulante, aromatizante, antiumectante, regulador de acidez, estabilizante, corante e outros ingredientes permitidos, embalagem primária filme plástico, resistente e atóxico.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344277</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R$9,38</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R$ 13.132,00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71</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PREPARADO PÓ P/ REFRESCO, SABOR MORANGO, RENDIMENTO 10 LITROS: composto de açúcar, polpa de morango em pó, acidulante, aromatizante, antiumectante, regulador de acidez, estabilizante, corante e outros ingredientes permitidos, embalagem primária filme plástico, resistente e atóxico.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344274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R$10,00</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R$ 14.000,00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72</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PREPARADO PÓ P/ REFRESCO, SABOR UVA, RENDIMENTO 10 LITROS: composto de açúcar, polpa de uva em pó, acidulante, aromatizante, antiumectante, regulador de acidez, estabilizante, corante e outros ingredientes permitidos, embalagem primária filme plástico, resistente e atóxico.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344273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R$8,36</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R$ 11.708,67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73</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 xml:space="preserve">QUEIJO, TIPO PRATO: transportado e conservado em temperatura não superior a 12°C, embalado em plástico inviolável e selado a </w:t>
            </w:r>
            <w:proofErr w:type="gramStart"/>
            <w:r w:rsidRPr="00095C0D">
              <w:rPr>
                <w:rFonts w:ascii="Times New Roman" w:hAnsi="Times New Roman" w:cs="Times New Roman"/>
                <w:sz w:val="22"/>
                <w:szCs w:val="22"/>
              </w:rPr>
              <w:t xml:space="preserve">vácuo.  </w:t>
            </w:r>
            <w:proofErr w:type="gramEnd"/>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446639</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R$50,33</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R$ 5.033,00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74</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QUEIJO, MUÇARELA: transportado e conservado em temperatura não superior a 8°C, embalado em plástico inviolável e selado a vácuo.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446633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1250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R$40,39</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R$ 50.483,33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75</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REFRIGERANTE SABOR LARANJA, EMBALAGEM LATA: composto de agua gaseificada, açúcar, suco de laranja, aromatizante, corante, acidulante, conservante e outros ingredientes permitidos, embalagem primária lata de alumínio, hermeticamente fechada e embalagem secundária plástica resistente.</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217781</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Lata 350 ml</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250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R$2,94</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R$ 735,00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76</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REFRIGERANTE SABOR GUARANÁ, EMBALAGEM LATA: composto de agua gaseificada, açúcar, suco de laranja, aromatizante, corante, acidulante, conservante e outros ingredientes permitidos, embalagem primária lata de alumínio, hermeticamente fechada e embalagem secundária plástica resistente.</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314061</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Lata 350 ml</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250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R$3,13</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R$ 782,50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77</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REFRIGERANTE SABOR COLA, EMBALAGEM PET: composto de agua gaseificada, açúcar, extrato de noz de cola, cafeína, corante caramelo, acidulante e outros ingredientes permitidos, isento de corantes artificiais, embalagem primária garrafa pet, hermeticamente fechada, embalagem secundária plástico resistente.</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217784</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Garrafa 2 litros</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R$4,55</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R$ 2.273,33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78</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REFRIGERANTE SABOR GUARANÁ, EMBALAGEM PET: composto de água gaseificada, açúcar, extrato de semente de guaraná, corante caramelo, acidulante, conservante e outros ingredientes permitidos, isento de corantes artificiais, embalagem primária garrafa pet, hermeticamente fechada e embalagem secundária plástico resistente.</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217785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Garrafa 2 litros</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R$7,65</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R$ 2.295,00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79</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REFRIGERANTE SABOR LARANJA, EMBALAGEM PET: composto de água gaseificada, açúcar, suco de laranja, aromatizante, corante, acidulante, conservante e outros ingredientes permitidos, embalagem primária garrafa pet, hermeticamente fechada e embalagem secundária plástico resistente.</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217782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Garrafa 2 litros</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R$6,21</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R$ 2.484,00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80</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REFRIGERANTE SABOR UVA, EMBALAGEM PET: composto de água gaseificada, açúcar, suco de uva, aromatizante, corante, acidulante, conservante e outros ingredientes permitidos, embalagem primária garrafa pet, hermeticamente fechada e embalagem secundária plástica resistente.</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217783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Garrafa 2 litros</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R$3,78</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R$ 1.512,00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81</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REQUEIJÃO, CREMOSO: transportado e conservado em temperatura não superior a 10°C e embalagem primária hermeticamente fechada.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216793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Copo 200 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R$5,78</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R$ 5.783,33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82</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SALSICHA, TIPO HOT-DOG: cozida, estado de conservação resfriada, com umidade máxima de 65%, devendo ser transportada e conservada a uma temperatura de até 8ºC, acondicionada em embalagem plástica termo encolhível a vácuo, atóxica e lacrada.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447720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5Kg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R$39,90</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R$ 39.900,00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83</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SUCO LÍQUIDO SABOR VARIADO: composto líquido de polpa concentrada de abacaxi, pêssego, goiaba ou laranja, água potável, açúcar, podendo ser adicionado de ácidos, apresentando sabor e aroma característicos e cor variando de branca a amarelada e embalagem primária caixa cartonada aluminizada.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326671</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200ml</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1500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R$1,53</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R$ 2.295,00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84</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TEMPERO EM PÓ, AMACIANTE DE CARNE: produto desidratado, destinado temperar alimentos, obtido da mistura de sal refinado, alho em pó, cebola em pó, salsa em flocos e outros condimentos, exceto pimenta, podendo conter aromatizantes naturais e aditivos, permitidos pela legislação, com aspecto cor, cheiro e sabor próprio, isento de sujidades, parasitas e larvas, embalado em saco de polietileno atóxico, leitoso, resistente e vedado.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339479</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R$7,00</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R$ 1.400,00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85</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TEMPERO, ALHO E SAL: produto pastoso, destinado temperar alimentos, obtido da mistura de sal refinado e alho, com cor, cheiro e sabor próprio, isento de sujidades, parasitas e larvas, embalado em pote plástico atóxico, leitoso, resistente e vedado.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269172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R$9,15</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R$ 4.575,00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86</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TEMPERO COMPLETO, SEM PIMENTA: produto pastoso, destinado temperar alimentos, obtido da mistura de sal refinado, alho e outros condimentos, exceto pimenta, podendo conter aromatizantes naturais e aditivos, permitidos pela legislação, com aspecto cor, cheiro e sabor próprio, isento de sujidades, parasitas e larvas, embalado em pote plástico atóxico, leitoso, resistente e vedado.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233873</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R$6,62</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R$ 2.649,33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87</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TOUCINHO (BACON): preparado com carne curada de suíno, defumado, sem costela, em manta, acondicionado em embalagem apropriada.</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447666</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250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R$38,42</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R$ 9.604,17</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88</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TRIGO PARA QUIBE: integral, quebrado e torrado, isento de insetos, impurezas, matérias e odores estranhos ou impróprios, livre de mofo ou fermentação, acondicionado em saco plástico transparente e atóxico.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280730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500g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R$6,51</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R$ 1.301,33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89</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SAL, TIPO REFINADO: Sal, tipo refinado, aplicação alimentícia, teor máximo sódio 390 mg/g acidez 7,0 ph. Pacote de 1 kg.</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454017</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Pacote 1 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1200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R$1,46</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R$ 1.748,00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90</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SORVETE DE MASSA, SABOR CHOCOLATE: composto de água, açúcar, leite em pó desnatado, soro de leite, gordura vegetal, cacau, emulsificante, aromatizante e outros ingredientes permitidos.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462757</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10 litros</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R$69,89</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R$ 2.096,80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91</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SORVETE DE MASSA, SABOR MORANGO: composto de água, açúcar, leite em pó desnatado, soro de leite, gordura vegetal, polpa de morango, emulsificante, aromatizante e outros ingredientes permitidos.</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462768</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10 litros</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1</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R$88,83</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R$ 2.664,80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92</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SORVETE DE MASSA, SABOR FLOCOS DE CHOCOLATE: composto de água, açúcar, leite em pó desnatado, soro de leite, gordura vegetal, flocos sabor chocolate, emulsificante, aromatizante e outros ingredientes permitidos, transportado e conservado a uma temperatura mínima de -18ºC, embalagem primária balde plástico lacrado.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462765</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Embalagem 10 litros</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R$89,00</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R$ 2.670,00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93</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FRIOS, EMBUTIDO: Peito de peru, defumado, com aspecto, cheiro, cor e sabor próprio, isento de sujidades, parasitos e larvas, acondicionado em saco plástico transparente, atóxico.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eastAsia="Times New Roman" w:hAnsi="Times New Roman" w:cs="Times New Roman"/>
                <w:sz w:val="22"/>
                <w:szCs w:val="22"/>
              </w:rPr>
              <w:t>447792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R$52,47</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R$ 2.098,80</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lastRenderedPageBreak/>
              <w:t>94</w:t>
            </w:r>
          </w:p>
        </w:tc>
        <w:tc>
          <w:tcPr>
            <w:tcW w:w="3740"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FARINHA DE MILHO: apresentação em flocos grossos, obtido do grão de milho pré-cozido e prensado, fortificado com ferro e ácido fólico, de cor amarela, devendo se apresentar limpo, com aspecto, cor, cheiro e sabor próprios, com ausência de mofo e ranço, isento de insetos, odores ou sabores estranhos ou impróprios, embalagem primária saco plástico, transparente e atóxico.</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479080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400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R$2,82</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R$ 1.129,33</w:t>
            </w:r>
          </w:p>
        </w:tc>
      </w:tr>
      <w:tr w:rsidR="004973D6" w:rsidTr="008363B8">
        <w:trPr>
          <w:cantSplit/>
          <w:trHeight w:val="585"/>
          <w:jc w:val="center"/>
        </w:trPr>
        <w:tc>
          <w:tcPr>
            <w:tcW w:w="513" w:type="dxa"/>
            <w:tcBorders>
              <w:top w:val="single" w:sz="6" w:space="0" w:color="CCCCCC"/>
              <w:left w:val="single" w:sz="6" w:space="0" w:color="000000"/>
              <w:bottom w:val="single" w:sz="6" w:space="0" w:color="000000"/>
              <w:right w:val="single" w:sz="6"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95</w:t>
            </w:r>
          </w:p>
        </w:tc>
        <w:tc>
          <w:tcPr>
            <w:tcW w:w="374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both"/>
              <w:rPr>
                <w:rFonts w:ascii="Times New Roman" w:hAnsi="Times New Roman" w:cs="Times New Roman"/>
                <w:sz w:val="22"/>
                <w:szCs w:val="22"/>
              </w:rPr>
            </w:pPr>
            <w:r w:rsidRPr="00095C0D">
              <w:rPr>
                <w:rFonts w:ascii="Times New Roman" w:hAnsi="Times New Roman" w:cs="Times New Roman"/>
                <w:sz w:val="22"/>
                <w:szCs w:val="22"/>
              </w:rPr>
              <w:t>QUEIJO PROVOLONE, FRESCO DEFUMADO: transportado e conservado em temperatura não superior a 25ºC, embalado em plástico apropriado e inviolável.</w:t>
            </w:r>
          </w:p>
        </w:tc>
        <w:tc>
          <w:tcPr>
            <w:tcW w:w="850"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446680</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Kg</w:t>
            </w:r>
          </w:p>
        </w:tc>
        <w:tc>
          <w:tcPr>
            <w:tcW w:w="850" w:type="dxa"/>
            <w:tcBorders>
              <w:top w:val="single" w:sz="6" w:space="0" w:color="CCCCCC"/>
              <w:left w:val="single" w:sz="6" w:space="0" w:color="000000"/>
              <w:bottom w:val="single" w:sz="6" w:space="0" w:color="000000"/>
              <w:right w:val="single" w:sz="6" w:space="0" w:color="000000"/>
            </w:tcBorders>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2</w:t>
            </w:r>
          </w:p>
        </w:tc>
        <w:tc>
          <w:tcPr>
            <w:tcW w:w="851"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30</w:t>
            </w:r>
          </w:p>
        </w:tc>
        <w:tc>
          <w:tcPr>
            <w:tcW w:w="992"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R$64,25</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sidRPr="00095C0D">
              <w:rPr>
                <w:rFonts w:ascii="Times New Roman" w:hAnsi="Times New Roman" w:cs="Times New Roman"/>
                <w:sz w:val="22"/>
                <w:szCs w:val="22"/>
              </w:rPr>
              <w:t>R$ 1.927,50</w:t>
            </w:r>
          </w:p>
        </w:tc>
      </w:tr>
      <w:tr w:rsidR="004973D6" w:rsidTr="008363B8">
        <w:trPr>
          <w:cantSplit/>
          <w:trHeight w:val="72"/>
          <w:jc w:val="center"/>
        </w:trPr>
        <w:tc>
          <w:tcPr>
            <w:tcW w:w="8647" w:type="dxa"/>
            <w:gridSpan w:val="7"/>
            <w:tcBorders>
              <w:top w:val="single" w:sz="6" w:space="0" w:color="CCCCCC"/>
              <w:left w:val="single" w:sz="6" w:space="0" w:color="000000"/>
              <w:bottom w:val="single" w:sz="6" w:space="0" w:color="000000"/>
              <w:right w:val="single" w:sz="7" w:space="0" w:color="000000"/>
            </w:tcBorders>
            <w:shd w:val="clear" w:color="auto" w:fill="FFFFFF"/>
            <w:tcMar>
              <w:top w:w="113" w:type="dxa"/>
              <w:left w:w="113" w:type="dxa"/>
              <w:bottom w:w="113" w:type="dxa"/>
              <w:right w:w="113" w:type="dxa"/>
            </w:tcMar>
            <w:vAlign w:val="center"/>
          </w:tcPr>
          <w:p w:rsidR="004973D6" w:rsidRPr="00095C0D" w:rsidRDefault="004973D6" w:rsidP="00BD2692">
            <w:pPr>
              <w:jc w:val="center"/>
              <w:rPr>
                <w:rFonts w:ascii="Times New Roman" w:hAnsi="Times New Roman" w:cs="Times New Roman"/>
                <w:sz w:val="22"/>
                <w:szCs w:val="22"/>
              </w:rPr>
            </w:pPr>
            <w:r>
              <w:rPr>
                <w:rFonts w:ascii="Times New Roman" w:eastAsia="Times New Roman" w:hAnsi="Times New Roman" w:cs="Times New Roman"/>
                <w:b/>
                <w:color w:val="000000"/>
                <w:sz w:val="20"/>
                <w:szCs w:val="20"/>
              </w:rPr>
              <w:t>VALOR TOTAL</w:t>
            </w:r>
          </w:p>
        </w:tc>
        <w:tc>
          <w:tcPr>
            <w:tcW w:w="1417"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center"/>
          </w:tcPr>
          <w:p w:rsidR="004973D6" w:rsidRPr="00095C0D" w:rsidRDefault="004973D6" w:rsidP="00BD2692">
            <w:pPr>
              <w:jc w:val="center"/>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=SUM(ABOVE) </w:instrText>
            </w:r>
            <w:r>
              <w:rPr>
                <w:rFonts w:ascii="Times New Roman" w:hAnsi="Times New Roman" w:cs="Times New Roman"/>
                <w:sz w:val="22"/>
                <w:szCs w:val="22"/>
              </w:rPr>
              <w:fldChar w:fldCharType="separate"/>
            </w:r>
            <w:r>
              <w:rPr>
                <w:rFonts w:ascii="Times New Roman" w:hAnsi="Times New Roman" w:cs="Times New Roman"/>
                <w:noProof/>
                <w:sz w:val="22"/>
                <w:szCs w:val="22"/>
              </w:rPr>
              <w:t>R$ 635.716,58</w:t>
            </w:r>
            <w:r>
              <w:rPr>
                <w:rFonts w:ascii="Times New Roman" w:hAnsi="Times New Roman" w:cs="Times New Roman"/>
                <w:sz w:val="22"/>
                <w:szCs w:val="22"/>
              </w:rPr>
              <w:fldChar w:fldCharType="end"/>
            </w:r>
          </w:p>
        </w:tc>
      </w:tr>
    </w:tbl>
    <w:p w:rsidR="008363B8" w:rsidRDefault="008363B8" w:rsidP="003E2530">
      <w:p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p>
    <w:p w:rsidR="00181559" w:rsidRDefault="003E2530" w:rsidP="003E2530">
      <w:p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1.2. </w:t>
      </w:r>
      <w:r w:rsidR="00C94481">
        <w:rPr>
          <w:rFonts w:ascii="Times New Roman" w:eastAsia="Times New Roman" w:hAnsi="Times New Roman" w:cs="Times New Roman"/>
          <w:color w:val="000000"/>
        </w:rPr>
        <w:t>Os bens objeto desta contratação são caracterizados como comuns, conforme justificativa constante do Estudo Técnico Preliminar.</w:t>
      </w:r>
    </w:p>
    <w:p w:rsidR="00181559" w:rsidRDefault="003E2530" w:rsidP="003E2530">
      <w:p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1.3. </w:t>
      </w:r>
      <w:r w:rsidR="00C94481">
        <w:rPr>
          <w:rFonts w:ascii="Times New Roman" w:eastAsia="Times New Roman" w:hAnsi="Times New Roman" w:cs="Times New Roman"/>
          <w:color w:val="000000"/>
        </w:rPr>
        <w:t>O objeto desta contratação não se enquadra como sendo de bem de luxo, conforme Decreto nº 10.818, de 27 de setembro de 2021.</w:t>
      </w:r>
    </w:p>
    <w:p w:rsidR="00181559" w:rsidRDefault="003E2530" w:rsidP="003E2530">
      <w:p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1.4. </w:t>
      </w:r>
      <w:r w:rsidR="00C94481">
        <w:rPr>
          <w:rFonts w:ascii="Times New Roman" w:eastAsia="Times New Roman" w:hAnsi="Times New Roman" w:cs="Times New Roman"/>
          <w:color w:val="000000"/>
        </w:rPr>
        <w:t>Por não ser possível fazer constar no Instrumento Substitutivo do Contrato, ou seja, na Nota de Empenho, devido à quantidade limitada de caracteres, o fornecedor se vincula ao seguinte texto deste Termo de Referência: O fornecedor se vincula à sua proposta e ao edital e seus anexos, sendo que as hipóteses de rescisão são aquelas previstas na forma do artigo 105 da Lei n° 14.133, de 2021, nestes casos, o fornecedor reconhece os direitos da Administração previstos na mesma Lei.</w:t>
      </w:r>
    </w:p>
    <w:p w:rsidR="00181559" w:rsidRDefault="003E2530" w:rsidP="003E2530">
      <w:p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1.5. </w:t>
      </w:r>
      <w:r w:rsidR="00C94481">
        <w:rPr>
          <w:rFonts w:ascii="Times New Roman" w:eastAsia="Times New Roman" w:hAnsi="Times New Roman" w:cs="Times New Roman"/>
          <w:color w:val="000000"/>
        </w:rPr>
        <w:t>A indicação de marcas constantes neste Termo de Referência tem o objetivo de estabelecer mais claramente um padrão de qualidade desejado.</w:t>
      </w:r>
    </w:p>
    <w:p w:rsidR="00181559" w:rsidRDefault="003E2530" w:rsidP="003E2530">
      <w:p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1.6. </w:t>
      </w:r>
      <w:r w:rsidR="00C94481">
        <w:rPr>
          <w:rFonts w:ascii="Times New Roman" w:eastAsia="Times New Roman" w:hAnsi="Times New Roman" w:cs="Times New Roman"/>
          <w:color w:val="000000"/>
        </w:rPr>
        <w:t>Aquisição poderá ocorrer no quantitativo mínimo de 01 (uma) unidade e máximo de 100% da quantidade estimada por requisição.</w:t>
      </w:r>
    </w:p>
    <w:p w:rsidR="00181559" w:rsidRDefault="00C94481">
      <w:pPr>
        <w:keepNext/>
        <w:keepLines/>
        <w:numPr>
          <w:ilvl w:val="0"/>
          <w:numId w:val="2"/>
        </w:numPr>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rPr>
      </w:pPr>
      <w:r>
        <w:rPr>
          <w:rFonts w:ascii="Times New Roman" w:eastAsia="Times New Roman" w:hAnsi="Times New Roman" w:cs="Times New Roman"/>
          <w:b/>
          <w:color w:val="000000"/>
        </w:rPr>
        <w:t>FUNDAMENTAÇÃO E DESCRIÇÃO DA NECESSIDADE DA CONTRATAÇÃO</w:t>
      </w:r>
    </w:p>
    <w:p w:rsidR="00181559" w:rsidRDefault="003E2530" w:rsidP="003E2530">
      <w:p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2.1. </w:t>
      </w:r>
      <w:r w:rsidR="00C94481">
        <w:rPr>
          <w:rFonts w:ascii="Times New Roman" w:eastAsia="Times New Roman" w:hAnsi="Times New Roman" w:cs="Times New Roman"/>
          <w:color w:val="000000"/>
        </w:rPr>
        <w:t>A Fundamentação da Contratação e de seus quantitativos encontra-se pormenorizada em Tópico específico dos Estudos Técnicos Preliminares, apêndice deste Termo de Referência.</w:t>
      </w:r>
    </w:p>
    <w:p w:rsidR="00181559" w:rsidRDefault="003E2530" w:rsidP="003E2530">
      <w:p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2.2. </w:t>
      </w:r>
      <w:r w:rsidR="00C94481">
        <w:rPr>
          <w:rFonts w:ascii="Times New Roman" w:eastAsia="Times New Roman" w:hAnsi="Times New Roman" w:cs="Times New Roman"/>
          <w:color w:val="000000"/>
        </w:rPr>
        <w:t>O objeto da contratação está previsto no Plano de Contratações Anual 202</w:t>
      </w:r>
      <w:r w:rsidR="00855E96">
        <w:rPr>
          <w:rFonts w:ascii="Times New Roman" w:eastAsia="Times New Roman" w:hAnsi="Times New Roman" w:cs="Times New Roman"/>
          <w:color w:val="000000"/>
        </w:rPr>
        <w:t>5</w:t>
      </w:r>
      <w:r w:rsidR="00C94481">
        <w:rPr>
          <w:rFonts w:ascii="Times New Roman" w:eastAsia="Times New Roman" w:hAnsi="Times New Roman" w:cs="Times New Roman"/>
          <w:color w:val="000000"/>
        </w:rPr>
        <w:t>, conforme consta das informações básicas des</w:t>
      </w:r>
      <w:r w:rsidR="00C94481">
        <w:rPr>
          <w:rFonts w:ascii="Times New Roman" w:eastAsia="Times New Roman" w:hAnsi="Times New Roman" w:cs="Times New Roman"/>
        </w:rPr>
        <w:t>t</w:t>
      </w:r>
      <w:r w:rsidR="00C94481">
        <w:rPr>
          <w:rFonts w:ascii="Times New Roman" w:eastAsia="Times New Roman" w:hAnsi="Times New Roman" w:cs="Times New Roman"/>
          <w:color w:val="000000"/>
        </w:rPr>
        <w:t>e termo de referência.</w:t>
      </w:r>
    </w:p>
    <w:p w:rsidR="00181559" w:rsidRDefault="00C94481">
      <w:pPr>
        <w:keepNext/>
        <w:keepLines/>
        <w:numPr>
          <w:ilvl w:val="0"/>
          <w:numId w:val="2"/>
        </w:numPr>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rPr>
      </w:pPr>
      <w:r>
        <w:rPr>
          <w:rFonts w:ascii="Times New Roman" w:eastAsia="Times New Roman" w:hAnsi="Times New Roman" w:cs="Times New Roman"/>
          <w:b/>
          <w:color w:val="000000"/>
        </w:rPr>
        <w:lastRenderedPageBreak/>
        <w:t>DESCRIÇÃO DA SOLUÇÃO COMO UM TODO CONSIDERADO O CICLO DE VIDA DO OBJETO E ESPECIFICAÇÃO DO PRODUTO</w:t>
      </w:r>
    </w:p>
    <w:p w:rsidR="00181559" w:rsidRDefault="003E2530" w:rsidP="003E2530">
      <w:p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3.1. </w:t>
      </w:r>
      <w:r w:rsidR="00C94481">
        <w:rPr>
          <w:rFonts w:ascii="Times New Roman" w:eastAsia="Times New Roman" w:hAnsi="Times New Roman" w:cs="Times New Roman"/>
          <w:color w:val="000000"/>
        </w:rPr>
        <w:t>A descrição da solução como um todo encontra-se pormenorizada em tópico específico dos Estudos Técnicos Preliminares, apêndice deste Termo de Referência</w:t>
      </w:r>
      <w:r w:rsidR="00C94481">
        <w:rPr>
          <w:rFonts w:ascii="Times New Roman" w:eastAsia="Times New Roman" w:hAnsi="Times New Roman" w:cs="Times New Roman"/>
          <w:i/>
          <w:color w:val="FF0000"/>
        </w:rPr>
        <w:t>.</w:t>
      </w:r>
    </w:p>
    <w:p w:rsidR="00181559" w:rsidRDefault="00C94481">
      <w:pPr>
        <w:keepNext/>
        <w:keepLines/>
        <w:numPr>
          <w:ilvl w:val="0"/>
          <w:numId w:val="2"/>
        </w:numPr>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rPr>
      </w:pPr>
      <w:r>
        <w:rPr>
          <w:rFonts w:ascii="Times New Roman" w:eastAsia="Times New Roman" w:hAnsi="Times New Roman" w:cs="Times New Roman"/>
          <w:b/>
          <w:color w:val="000000"/>
        </w:rPr>
        <w:t>REQUISITOS DA CONTRATAÇÃO</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Sustentabilidade:</w:t>
      </w:r>
    </w:p>
    <w:p w:rsidR="00181559" w:rsidRPr="003E2530" w:rsidRDefault="00C94481" w:rsidP="003E2530">
      <w:pPr>
        <w:pStyle w:val="PargrafodaLista"/>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highlight w:val="white"/>
        </w:rPr>
      </w:pPr>
      <w:r w:rsidRPr="003E2530">
        <w:rPr>
          <w:rFonts w:ascii="Times New Roman" w:eastAsia="Times New Roman" w:hAnsi="Times New Roman" w:cs="Times New Roman"/>
          <w:color w:val="000000"/>
        </w:rPr>
        <w:t>Além dos critérios de sustentabilidade eventualmente inseridos na descrição do objeto, devem ser atendidos os seguintes requisitos, que se baseiam no Guia Nacional de Contratações Sustentáveis:</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highlight w:val="white"/>
        </w:rPr>
        <w:t>Conforme a IN nº01, de 19 JAN 10, da SLTI/MPOG, a CONTRATADA deverá, no que couber, adotar as seguintes práticas de SUSTENTABILIDADE AMBIENTAL, adequada às exigências do objeto contratual para a aquisição de bens:</w:t>
      </w:r>
    </w:p>
    <w:p w:rsidR="00181559" w:rsidRDefault="00C94481">
      <w:pPr>
        <w:pBdr>
          <w:top w:val="nil"/>
          <w:left w:val="nil"/>
          <w:bottom w:val="nil"/>
          <w:right w:val="nil"/>
          <w:between w:val="nil"/>
        </w:pBdr>
        <w:spacing w:before="120" w:after="120" w:line="276" w:lineRule="auto"/>
        <w:ind w:left="3119"/>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I – que os bens sejam constituídos, no todo ou em parte, por material reciclado, atóxico, biodegradável, conforme ABNT NBR – 15448-1 e 15448-2;</w:t>
      </w:r>
    </w:p>
    <w:p w:rsidR="00181559" w:rsidRDefault="00C94481">
      <w:pPr>
        <w:pBdr>
          <w:top w:val="nil"/>
          <w:left w:val="nil"/>
          <w:bottom w:val="nil"/>
          <w:right w:val="nil"/>
          <w:between w:val="nil"/>
        </w:pBdr>
        <w:spacing w:before="120" w:after="120" w:line="276" w:lineRule="auto"/>
        <w:ind w:left="3119"/>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II – que sejam observados os requisitos ambientais para a obtenção de certificação do Instituto Nacional de Metrologia, Normalização e Qualidade Industrial – INMETRO como produtos sustentáveis ou de menor impacto ambiental em relação aos seus similares;</w:t>
      </w:r>
    </w:p>
    <w:p w:rsidR="00181559" w:rsidRDefault="00C94481">
      <w:pPr>
        <w:pBdr>
          <w:top w:val="nil"/>
          <w:left w:val="nil"/>
          <w:bottom w:val="nil"/>
          <w:right w:val="nil"/>
          <w:between w:val="nil"/>
        </w:pBdr>
        <w:spacing w:before="120" w:after="120" w:line="276" w:lineRule="auto"/>
        <w:ind w:left="3119"/>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III – que os bens devam ser, preferencialmente, acondicionados em embalagem individual adequada, com menor volume possível, que utilize materiais recicláveis, de forma a garantir a máxima proteção durante o transporte e o armazenamento; e</w:t>
      </w:r>
    </w:p>
    <w:p w:rsidR="00181559" w:rsidRDefault="00C94481">
      <w:pPr>
        <w:pBdr>
          <w:top w:val="nil"/>
          <w:left w:val="nil"/>
          <w:bottom w:val="nil"/>
          <w:right w:val="nil"/>
          <w:between w:val="nil"/>
        </w:pBdr>
        <w:spacing w:before="120" w:after="120" w:line="276" w:lineRule="auto"/>
        <w:ind w:left="3119"/>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 xml:space="preserve">IV – que os bens não contenham substâncias perigosas em concentração acima da recomendada na diretiva </w:t>
      </w:r>
      <w:proofErr w:type="spellStart"/>
      <w:r>
        <w:rPr>
          <w:rFonts w:ascii="Times New Roman" w:eastAsia="Times New Roman" w:hAnsi="Times New Roman" w:cs="Times New Roman"/>
          <w:color w:val="000000"/>
          <w:highlight w:val="white"/>
        </w:rPr>
        <w:t>RoHS</w:t>
      </w:r>
      <w:proofErr w:type="spellEnd"/>
      <w:r>
        <w:rPr>
          <w:rFonts w:ascii="Times New Roman" w:eastAsia="Times New Roman" w:hAnsi="Times New Roman" w:cs="Times New Roman"/>
          <w:color w:val="000000"/>
          <w:highlight w:val="white"/>
        </w:rPr>
        <w:t xml:space="preserve"> (</w:t>
      </w:r>
      <w:proofErr w:type="spellStart"/>
      <w:r>
        <w:rPr>
          <w:rFonts w:ascii="Times New Roman" w:eastAsia="Times New Roman" w:hAnsi="Times New Roman" w:cs="Times New Roman"/>
          <w:color w:val="000000"/>
          <w:highlight w:val="white"/>
        </w:rPr>
        <w:t>Restriction</w:t>
      </w:r>
      <w:proofErr w:type="spellEnd"/>
      <w:r>
        <w:rPr>
          <w:rFonts w:ascii="Times New Roman" w:eastAsia="Times New Roman" w:hAnsi="Times New Roman" w:cs="Times New Roman"/>
          <w:color w:val="000000"/>
          <w:highlight w:val="white"/>
        </w:rPr>
        <w:t xml:space="preserve"> </w:t>
      </w:r>
      <w:proofErr w:type="spellStart"/>
      <w:r>
        <w:rPr>
          <w:rFonts w:ascii="Times New Roman" w:eastAsia="Times New Roman" w:hAnsi="Times New Roman" w:cs="Times New Roman"/>
          <w:color w:val="000000"/>
          <w:highlight w:val="white"/>
        </w:rPr>
        <w:t>of</w:t>
      </w:r>
      <w:proofErr w:type="spellEnd"/>
      <w:r>
        <w:rPr>
          <w:rFonts w:ascii="Times New Roman" w:eastAsia="Times New Roman" w:hAnsi="Times New Roman" w:cs="Times New Roman"/>
          <w:color w:val="000000"/>
          <w:highlight w:val="white"/>
        </w:rPr>
        <w:t xml:space="preserve"> </w:t>
      </w:r>
      <w:proofErr w:type="spellStart"/>
      <w:r>
        <w:rPr>
          <w:rFonts w:ascii="Times New Roman" w:eastAsia="Times New Roman" w:hAnsi="Times New Roman" w:cs="Times New Roman"/>
          <w:color w:val="000000"/>
          <w:highlight w:val="white"/>
        </w:rPr>
        <w:t>Certain</w:t>
      </w:r>
      <w:proofErr w:type="spellEnd"/>
      <w:r>
        <w:rPr>
          <w:rFonts w:ascii="Times New Roman" w:eastAsia="Times New Roman" w:hAnsi="Times New Roman" w:cs="Times New Roman"/>
          <w:color w:val="000000"/>
          <w:highlight w:val="white"/>
        </w:rPr>
        <w:t xml:space="preserve"> </w:t>
      </w:r>
      <w:proofErr w:type="spellStart"/>
      <w:r>
        <w:rPr>
          <w:rFonts w:ascii="Times New Roman" w:eastAsia="Times New Roman" w:hAnsi="Times New Roman" w:cs="Times New Roman"/>
          <w:color w:val="000000"/>
          <w:highlight w:val="white"/>
        </w:rPr>
        <w:t>Hazardous</w:t>
      </w:r>
      <w:proofErr w:type="spellEnd"/>
      <w:r>
        <w:rPr>
          <w:rFonts w:ascii="Times New Roman" w:eastAsia="Times New Roman" w:hAnsi="Times New Roman" w:cs="Times New Roman"/>
          <w:color w:val="000000"/>
          <w:highlight w:val="white"/>
        </w:rPr>
        <w:t xml:space="preserve"> </w:t>
      </w:r>
      <w:proofErr w:type="spellStart"/>
      <w:r>
        <w:rPr>
          <w:rFonts w:ascii="Times New Roman" w:eastAsia="Times New Roman" w:hAnsi="Times New Roman" w:cs="Times New Roman"/>
          <w:color w:val="000000"/>
          <w:highlight w:val="white"/>
        </w:rPr>
        <w:t>Substances</w:t>
      </w:r>
      <w:proofErr w:type="spellEnd"/>
      <w:r>
        <w:rPr>
          <w:rFonts w:ascii="Times New Roman" w:eastAsia="Times New Roman" w:hAnsi="Times New Roman" w:cs="Times New Roman"/>
          <w:color w:val="000000"/>
          <w:highlight w:val="white"/>
        </w:rPr>
        <w:t xml:space="preserve">), tais como mercúrio (hg), chumbo (Pb), cromo </w:t>
      </w:r>
      <w:proofErr w:type="spellStart"/>
      <w:r>
        <w:rPr>
          <w:rFonts w:ascii="Times New Roman" w:eastAsia="Times New Roman" w:hAnsi="Times New Roman" w:cs="Times New Roman"/>
          <w:color w:val="000000"/>
          <w:highlight w:val="white"/>
        </w:rPr>
        <w:t>hexavalente</w:t>
      </w:r>
      <w:proofErr w:type="spellEnd"/>
      <w:r>
        <w:rPr>
          <w:rFonts w:ascii="Times New Roman" w:eastAsia="Times New Roman" w:hAnsi="Times New Roman" w:cs="Times New Roman"/>
          <w:color w:val="000000"/>
          <w:highlight w:val="white"/>
        </w:rPr>
        <w:t xml:space="preserve"> (Cr(VI)), cádmio (Cd), </w:t>
      </w:r>
      <w:proofErr w:type="spellStart"/>
      <w:r>
        <w:rPr>
          <w:rFonts w:ascii="Times New Roman" w:eastAsia="Times New Roman" w:hAnsi="Times New Roman" w:cs="Times New Roman"/>
          <w:color w:val="000000"/>
          <w:highlight w:val="white"/>
        </w:rPr>
        <w:t>bifenil-polibromados</w:t>
      </w:r>
      <w:proofErr w:type="spellEnd"/>
      <w:r>
        <w:rPr>
          <w:rFonts w:ascii="Times New Roman" w:eastAsia="Times New Roman" w:hAnsi="Times New Roman" w:cs="Times New Roman"/>
          <w:color w:val="000000"/>
          <w:highlight w:val="white"/>
        </w:rPr>
        <w:t xml:space="preserve"> (</w:t>
      </w:r>
      <w:proofErr w:type="spellStart"/>
      <w:r>
        <w:rPr>
          <w:rFonts w:ascii="Times New Roman" w:eastAsia="Times New Roman" w:hAnsi="Times New Roman" w:cs="Times New Roman"/>
          <w:color w:val="000000"/>
          <w:highlight w:val="white"/>
        </w:rPr>
        <w:t>PBBs</w:t>
      </w:r>
      <w:proofErr w:type="spellEnd"/>
      <w:r>
        <w:rPr>
          <w:rFonts w:ascii="Times New Roman" w:eastAsia="Times New Roman" w:hAnsi="Times New Roman" w:cs="Times New Roman"/>
          <w:color w:val="000000"/>
          <w:highlight w:val="white"/>
        </w:rPr>
        <w:t xml:space="preserve">), éteres </w:t>
      </w:r>
      <w:proofErr w:type="spellStart"/>
      <w:r>
        <w:rPr>
          <w:rFonts w:ascii="Times New Roman" w:eastAsia="Times New Roman" w:hAnsi="Times New Roman" w:cs="Times New Roman"/>
          <w:color w:val="000000"/>
          <w:highlight w:val="white"/>
        </w:rPr>
        <w:t>difenil-polibromados</w:t>
      </w:r>
      <w:proofErr w:type="spellEnd"/>
      <w:r>
        <w:rPr>
          <w:rFonts w:ascii="Times New Roman" w:eastAsia="Times New Roman" w:hAnsi="Times New Roman" w:cs="Times New Roman"/>
          <w:color w:val="000000"/>
          <w:highlight w:val="white"/>
        </w:rPr>
        <w:t xml:space="preserve"> (</w:t>
      </w:r>
      <w:proofErr w:type="spellStart"/>
      <w:r>
        <w:rPr>
          <w:rFonts w:ascii="Times New Roman" w:eastAsia="Times New Roman" w:hAnsi="Times New Roman" w:cs="Times New Roman"/>
          <w:color w:val="000000"/>
          <w:highlight w:val="white"/>
        </w:rPr>
        <w:t>PBDEs</w:t>
      </w:r>
      <w:proofErr w:type="spellEnd"/>
      <w:r>
        <w:rPr>
          <w:rFonts w:ascii="Times New Roman" w:eastAsia="Times New Roman" w:hAnsi="Times New Roman" w:cs="Times New Roman"/>
          <w:color w:val="000000"/>
          <w:highlight w:val="white"/>
        </w:rPr>
        <w:t>).</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highlight w:val="white"/>
        </w:rPr>
        <w:t>Conforme a IN nº, de 19 JAN 10, da SLTI/MPOG, a CONTRATADA deverá, no que couber, adotar as seguintes práticas de SUSTENTABILIDADE AMBIENTAL, adequada às exigências do objeto contratual para a contratação de serviços:</w:t>
      </w:r>
    </w:p>
    <w:p w:rsidR="00181559" w:rsidRDefault="00C94481">
      <w:pPr>
        <w:pBdr>
          <w:top w:val="nil"/>
          <w:left w:val="nil"/>
          <w:bottom w:val="nil"/>
          <w:right w:val="nil"/>
          <w:between w:val="nil"/>
        </w:pBdr>
        <w:spacing w:before="120" w:after="120" w:line="276" w:lineRule="auto"/>
        <w:ind w:left="3119"/>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I - usar produtos de limpeza e conservação de superfícies e objetos inanimados que obedeçam às classificações e especificações determinadas pela ANVISA;</w:t>
      </w:r>
    </w:p>
    <w:p w:rsidR="00181559" w:rsidRDefault="00C94481">
      <w:pPr>
        <w:pBdr>
          <w:top w:val="nil"/>
          <w:left w:val="nil"/>
          <w:bottom w:val="nil"/>
          <w:right w:val="nil"/>
          <w:between w:val="nil"/>
        </w:pBdr>
        <w:spacing w:before="120" w:after="120" w:line="276" w:lineRule="auto"/>
        <w:ind w:left="3119"/>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lastRenderedPageBreak/>
        <w:t>II – adotar medidas para evitar o desperdício de água tratada, conforme instituído no Decreto no 48.138, de 8 de outubro de 2003;</w:t>
      </w:r>
    </w:p>
    <w:p w:rsidR="00181559" w:rsidRDefault="00C94481">
      <w:pPr>
        <w:pBdr>
          <w:top w:val="nil"/>
          <w:left w:val="nil"/>
          <w:bottom w:val="nil"/>
          <w:right w:val="nil"/>
          <w:between w:val="nil"/>
        </w:pBdr>
        <w:spacing w:before="120" w:after="120" w:line="276" w:lineRule="auto"/>
        <w:ind w:left="3119"/>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III – observar a Resolução CONAMA nº 20, de 7 de dezembro de 1994, quantos aos equipamentos de limpeza que gerem ruído no seu funcionamento;</w:t>
      </w:r>
    </w:p>
    <w:p w:rsidR="00181559" w:rsidRDefault="00C94481">
      <w:pPr>
        <w:pBdr>
          <w:top w:val="nil"/>
          <w:left w:val="nil"/>
          <w:bottom w:val="nil"/>
          <w:right w:val="nil"/>
          <w:between w:val="nil"/>
        </w:pBdr>
        <w:spacing w:before="120" w:after="120" w:line="276" w:lineRule="auto"/>
        <w:ind w:left="3119"/>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IV – fornecer aos empregados os equipamentos de segurança que se fizerem necessários, para a execução;</w:t>
      </w:r>
    </w:p>
    <w:p w:rsidR="00181559" w:rsidRDefault="00C94481">
      <w:pPr>
        <w:pBdr>
          <w:top w:val="nil"/>
          <w:left w:val="nil"/>
          <w:bottom w:val="nil"/>
          <w:right w:val="nil"/>
          <w:between w:val="nil"/>
        </w:pBdr>
        <w:spacing w:before="120" w:after="120" w:line="276" w:lineRule="auto"/>
        <w:ind w:left="3119"/>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V – 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181559" w:rsidRDefault="00C94481">
      <w:pPr>
        <w:pBdr>
          <w:top w:val="nil"/>
          <w:left w:val="nil"/>
          <w:bottom w:val="nil"/>
          <w:right w:val="nil"/>
          <w:between w:val="nil"/>
        </w:pBdr>
        <w:spacing w:before="120" w:after="120" w:line="276" w:lineRule="auto"/>
        <w:ind w:left="3119"/>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 xml:space="preserve">VI – realizar a separação dos resíduos recicláveis descartados, e a sua destinação às associações e cooperativas dos catadores de materiais recicláveis, que será procedida pela coleta seletiva do papel para reciclagem, quando couber, nos termos da IN/MARE nº6, de 3 de novembro de 1995 e do Decreto nº5.940, de 25 de outubro de 2006; </w:t>
      </w:r>
    </w:p>
    <w:p w:rsidR="00181559" w:rsidRDefault="00C94481">
      <w:pPr>
        <w:pBdr>
          <w:top w:val="nil"/>
          <w:left w:val="nil"/>
          <w:bottom w:val="nil"/>
          <w:right w:val="nil"/>
          <w:between w:val="nil"/>
        </w:pBdr>
        <w:spacing w:before="120" w:after="120" w:line="276" w:lineRule="auto"/>
        <w:ind w:left="3119"/>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VII – origem sustentável dos recursos naturais utilizados nos bens, nos serviços e nas obras; e (Redação dada pelo Decreto nº9.178, de 2017)</w:t>
      </w:r>
    </w:p>
    <w:p w:rsidR="00181559" w:rsidRDefault="00C94481">
      <w:pPr>
        <w:pBdr>
          <w:top w:val="nil"/>
          <w:left w:val="nil"/>
          <w:bottom w:val="nil"/>
          <w:right w:val="nil"/>
          <w:between w:val="nil"/>
        </w:pBdr>
        <w:spacing w:before="120" w:after="120" w:line="276" w:lineRule="auto"/>
        <w:ind w:left="3119"/>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VIII – utilização de produtos florestais madeireiros e não madeireiros originários de manejo florestal sustentável ou de reflorestamento. (</w:t>
      </w:r>
      <w:proofErr w:type="gramStart"/>
      <w:r>
        <w:rPr>
          <w:rFonts w:ascii="Times New Roman" w:eastAsia="Times New Roman" w:hAnsi="Times New Roman" w:cs="Times New Roman"/>
          <w:color w:val="000000"/>
          <w:highlight w:val="white"/>
        </w:rPr>
        <w:t>incluído</w:t>
      </w:r>
      <w:proofErr w:type="gramEnd"/>
      <w:r>
        <w:rPr>
          <w:rFonts w:ascii="Times New Roman" w:eastAsia="Times New Roman" w:hAnsi="Times New Roman" w:cs="Times New Roman"/>
          <w:color w:val="000000"/>
          <w:highlight w:val="white"/>
        </w:rPr>
        <w:t xml:space="preserve"> pelo Decreto nº9.178, de 2017)</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Subcontratação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Não é admitida a subcontratação do objeto contratual.</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Garantia da contratação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Não haverá exigência da garantia da contratação dos </w:t>
      </w:r>
      <w:hyperlink r:id="rId9" w:anchor="art96">
        <w:r>
          <w:rPr>
            <w:rFonts w:ascii="Times New Roman" w:eastAsia="Times New Roman" w:hAnsi="Times New Roman" w:cs="Times New Roman"/>
            <w:color w:val="000000"/>
            <w:u w:val="single"/>
          </w:rPr>
          <w:t>artigos 96 e seguintes da Lei nº 14.133, de 2021</w:t>
        </w:r>
      </w:hyperlink>
      <w:r>
        <w:rPr>
          <w:rFonts w:ascii="Times New Roman" w:eastAsia="Times New Roman" w:hAnsi="Times New Roman" w:cs="Times New Roman"/>
          <w:color w:val="000000"/>
        </w:rPr>
        <w:t>, pelas razões constantes do Estudo Técnico Preliminar.</w:t>
      </w:r>
    </w:p>
    <w:p w:rsidR="00181559" w:rsidRDefault="00C94481">
      <w:pPr>
        <w:keepNext/>
        <w:keepLines/>
        <w:numPr>
          <w:ilvl w:val="0"/>
          <w:numId w:val="2"/>
        </w:numPr>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rPr>
      </w:pPr>
      <w:r>
        <w:rPr>
          <w:rFonts w:ascii="Times New Roman" w:eastAsia="Times New Roman" w:hAnsi="Times New Roman" w:cs="Times New Roman"/>
          <w:b/>
          <w:color w:val="000000"/>
        </w:rPr>
        <w:t>MODELO DE EXECUÇÃO DO OBJETO</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Condições de entrega e critérios de aceitação do objeto</w:t>
      </w:r>
    </w:p>
    <w:p w:rsidR="00181559" w:rsidRDefault="00C94481" w:rsidP="003E2530">
      <w:pPr>
        <w:numPr>
          <w:ilvl w:val="1"/>
          <w:numId w:val="2"/>
        </w:numPr>
        <w:pBdr>
          <w:top w:val="nil"/>
          <w:left w:val="nil"/>
          <w:bottom w:val="nil"/>
          <w:right w:val="nil"/>
          <w:between w:val="nil"/>
        </w:pBdr>
        <w:spacing w:before="120" w:after="120" w:line="276" w:lineRule="auto"/>
        <w:jc w:val="both"/>
      </w:pPr>
      <w:r>
        <w:rPr>
          <w:rFonts w:ascii="Times New Roman" w:eastAsia="Times New Roman" w:hAnsi="Times New Roman" w:cs="Times New Roman"/>
          <w:color w:val="000000"/>
        </w:rPr>
        <w:t xml:space="preserve">O prazo de entrega dos bens é de </w:t>
      </w:r>
      <w:r>
        <w:rPr>
          <w:rFonts w:ascii="Times New Roman" w:eastAsia="Times New Roman" w:hAnsi="Times New Roman" w:cs="Times New Roman"/>
          <w:b/>
        </w:rPr>
        <w:t>30</w:t>
      </w:r>
      <w:r>
        <w:rPr>
          <w:rFonts w:ascii="Times New Roman" w:eastAsia="Times New Roman" w:hAnsi="Times New Roman" w:cs="Times New Roman"/>
          <w:b/>
          <w:color w:val="000000"/>
        </w:rPr>
        <w:t xml:space="preserve"> (</w:t>
      </w:r>
      <w:r>
        <w:rPr>
          <w:rFonts w:ascii="Times New Roman" w:eastAsia="Times New Roman" w:hAnsi="Times New Roman" w:cs="Times New Roman"/>
          <w:b/>
        </w:rPr>
        <w:t>trinta</w:t>
      </w:r>
      <w:r>
        <w:rPr>
          <w:rFonts w:ascii="Times New Roman" w:eastAsia="Times New Roman" w:hAnsi="Times New Roman" w:cs="Times New Roman"/>
          <w:b/>
          <w:color w:val="000000"/>
        </w:rPr>
        <w:t>) dias corridos</w:t>
      </w:r>
      <w:r>
        <w:rPr>
          <w:rFonts w:ascii="Times New Roman" w:eastAsia="Times New Roman" w:hAnsi="Times New Roman" w:cs="Times New Roman"/>
          <w:color w:val="000000"/>
        </w:rPr>
        <w:t xml:space="preserve">, contados do(a) recebimento da Nota de Empenho ou Ordem de Fornecimento, em remessa (única ou parcelada), no seguinte endereço: </w:t>
      </w:r>
      <w:r>
        <w:rPr>
          <w:rFonts w:ascii="Times New Roman" w:eastAsia="Times New Roman" w:hAnsi="Times New Roman" w:cs="Times New Roman"/>
          <w:b/>
          <w:color w:val="000000"/>
        </w:rPr>
        <w:t>Av</w:t>
      </w:r>
      <w:r>
        <w:rPr>
          <w:rFonts w:ascii="Times New Roman" w:eastAsia="Times New Roman" w:hAnsi="Times New Roman" w:cs="Times New Roman"/>
          <w:color w:val="000000"/>
        </w:rPr>
        <w:t>.</w:t>
      </w:r>
      <w:r>
        <w:rPr>
          <w:rFonts w:ascii="Times New Roman" w:eastAsia="Times New Roman" w:hAnsi="Times New Roman" w:cs="Times New Roman"/>
          <w:b/>
          <w:color w:val="000000"/>
        </w:rPr>
        <w:t xml:space="preserve"> </w:t>
      </w:r>
      <w:r>
        <w:rPr>
          <w:rFonts w:ascii="Times New Roman" w:eastAsia="Times New Roman" w:hAnsi="Times New Roman" w:cs="Times New Roman"/>
          <w:b/>
        </w:rPr>
        <w:t>Castelo Branco</w:t>
      </w:r>
      <w:r>
        <w:rPr>
          <w:rFonts w:ascii="Times New Roman" w:eastAsia="Times New Roman" w:hAnsi="Times New Roman" w:cs="Times New Roman"/>
          <w:b/>
          <w:color w:val="000000"/>
        </w:rPr>
        <w:t xml:space="preserve">, </w:t>
      </w:r>
      <w:r>
        <w:rPr>
          <w:rFonts w:ascii="Times New Roman" w:eastAsia="Times New Roman" w:hAnsi="Times New Roman" w:cs="Times New Roman"/>
          <w:b/>
        </w:rPr>
        <w:t>S/N</w:t>
      </w:r>
      <w:r>
        <w:rPr>
          <w:rFonts w:ascii="Times New Roman" w:eastAsia="Times New Roman" w:hAnsi="Times New Roman" w:cs="Times New Roman"/>
          <w:b/>
          <w:color w:val="000000"/>
        </w:rPr>
        <w:t xml:space="preserve"> -</w:t>
      </w:r>
      <w:r>
        <w:rPr>
          <w:rFonts w:ascii="Times New Roman" w:eastAsia="Times New Roman" w:hAnsi="Times New Roman" w:cs="Times New Roman"/>
          <w:b/>
        </w:rPr>
        <w:t xml:space="preserve"> Vila Olavo</w:t>
      </w:r>
      <w:r>
        <w:rPr>
          <w:rFonts w:ascii="Times New Roman" w:eastAsia="Times New Roman" w:hAnsi="Times New Roman" w:cs="Times New Roman"/>
          <w:b/>
          <w:color w:val="000000"/>
        </w:rPr>
        <w:t xml:space="preserve"> - J</w:t>
      </w:r>
      <w:r>
        <w:rPr>
          <w:rFonts w:ascii="Times New Roman" w:eastAsia="Times New Roman" w:hAnsi="Times New Roman" w:cs="Times New Roman"/>
          <w:b/>
        </w:rPr>
        <w:t>ataí -</w:t>
      </w:r>
      <w:r>
        <w:rPr>
          <w:rFonts w:ascii="Times New Roman" w:eastAsia="Times New Roman" w:hAnsi="Times New Roman" w:cs="Times New Roman"/>
          <w:b/>
          <w:color w:val="000000"/>
        </w:rPr>
        <w:t xml:space="preserve"> </w:t>
      </w:r>
      <w:r>
        <w:rPr>
          <w:rFonts w:ascii="Times New Roman" w:eastAsia="Times New Roman" w:hAnsi="Times New Roman" w:cs="Times New Roman"/>
          <w:b/>
        </w:rPr>
        <w:t>GO</w:t>
      </w:r>
      <w:r>
        <w:rPr>
          <w:rFonts w:ascii="Times New Roman" w:eastAsia="Times New Roman" w:hAnsi="Times New Roman" w:cs="Times New Roman"/>
          <w:b/>
          <w:color w:val="000000"/>
        </w:rPr>
        <w:t>, CEP :</w:t>
      </w:r>
      <w:r>
        <w:rPr>
          <w:rFonts w:ascii="Times New Roman" w:eastAsia="Times New Roman" w:hAnsi="Times New Roman" w:cs="Times New Roman"/>
          <w:b/>
        </w:rPr>
        <w:t>75801-150</w:t>
      </w:r>
      <w:r>
        <w:rPr>
          <w:rFonts w:ascii="Times New Roman" w:eastAsia="Times New Roman" w:hAnsi="Times New Roman" w:cs="Times New Roman"/>
          <w:b/>
          <w:color w:val="000000"/>
        </w:rPr>
        <w:t xml:space="preserve">, </w:t>
      </w:r>
      <w:r>
        <w:rPr>
          <w:rFonts w:ascii="Times New Roman" w:eastAsia="Times New Roman" w:hAnsi="Times New Roman" w:cs="Times New Roman"/>
          <w:b/>
        </w:rPr>
        <w:t>41</w:t>
      </w:r>
      <w:r>
        <w:rPr>
          <w:rFonts w:ascii="Times New Roman" w:eastAsia="Times New Roman" w:hAnsi="Times New Roman" w:cs="Times New Roman"/>
          <w:b/>
          <w:color w:val="000000"/>
        </w:rPr>
        <w:t xml:space="preserve">° Batalhão de </w:t>
      </w:r>
      <w:r>
        <w:rPr>
          <w:rFonts w:ascii="Times New Roman" w:eastAsia="Times New Roman" w:hAnsi="Times New Roman" w:cs="Times New Roman"/>
          <w:b/>
        </w:rPr>
        <w:t>Infantaria M</w:t>
      </w:r>
      <w:r w:rsidR="00A128A1">
        <w:rPr>
          <w:rFonts w:ascii="Times New Roman" w:eastAsia="Times New Roman" w:hAnsi="Times New Roman" w:cs="Times New Roman"/>
          <w:b/>
        </w:rPr>
        <w:t>ecanizado</w:t>
      </w:r>
      <w:r>
        <w:rPr>
          <w:rFonts w:ascii="Times New Roman" w:eastAsia="Times New Roman" w:hAnsi="Times New Roman" w:cs="Times New Roman"/>
          <w:b/>
          <w:color w:val="000000"/>
        </w:rPr>
        <w:t xml:space="preserve">, CNPJ - </w:t>
      </w:r>
      <w:r>
        <w:rPr>
          <w:rFonts w:ascii="Times New Roman" w:eastAsia="Times New Roman" w:hAnsi="Times New Roman" w:cs="Times New Roman"/>
          <w:b/>
        </w:rPr>
        <w:t>09.610.136/0001-98</w:t>
      </w:r>
      <w:r>
        <w:rPr>
          <w:rFonts w:ascii="Times New Roman" w:eastAsia="Times New Roman" w:hAnsi="Times New Roman" w:cs="Times New Roman"/>
          <w:b/>
          <w:color w:val="000000"/>
        </w:rPr>
        <w:t>.</w:t>
      </w:r>
    </w:p>
    <w:p w:rsidR="00181559" w:rsidRDefault="00C94481" w:rsidP="003E2530">
      <w:pPr>
        <w:numPr>
          <w:ilvl w:val="1"/>
          <w:numId w:val="2"/>
        </w:numPr>
        <w:pBdr>
          <w:top w:val="nil"/>
          <w:left w:val="nil"/>
          <w:bottom w:val="nil"/>
          <w:right w:val="nil"/>
          <w:between w:val="nil"/>
        </w:pBdr>
        <w:spacing w:before="120" w:after="120" w:line="276" w:lineRule="auto"/>
        <w:jc w:val="both"/>
      </w:pPr>
      <w:r>
        <w:rPr>
          <w:rFonts w:ascii="Times New Roman" w:eastAsia="Times New Roman" w:hAnsi="Times New Roman" w:cs="Times New Roman"/>
          <w:color w:val="000000"/>
        </w:rPr>
        <w:lastRenderedPageBreak/>
        <w:t>Horários de entrega serão</w:t>
      </w:r>
      <w:r>
        <w:rPr>
          <w:rFonts w:ascii="Times New Roman" w:eastAsia="Times New Roman" w:hAnsi="Times New Roman" w:cs="Times New Roman"/>
          <w:b/>
          <w:color w:val="000000"/>
        </w:rPr>
        <w:t>: 0</w:t>
      </w:r>
      <w:r>
        <w:rPr>
          <w:rFonts w:ascii="Times New Roman" w:eastAsia="Times New Roman" w:hAnsi="Times New Roman" w:cs="Times New Roman"/>
          <w:b/>
        </w:rPr>
        <w:t>9</w:t>
      </w:r>
      <w:r>
        <w:rPr>
          <w:rFonts w:ascii="Times New Roman" w:eastAsia="Times New Roman" w:hAnsi="Times New Roman" w:cs="Times New Roman"/>
          <w:b/>
          <w:color w:val="000000"/>
        </w:rPr>
        <w:t>:00 às 11:</w:t>
      </w:r>
      <w:r>
        <w:rPr>
          <w:rFonts w:ascii="Times New Roman" w:eastAsia="Times New Roman" w:hAnsi="Times New Roman" w:cs="Times New Roman"/>
          <w:b/>
        </w:rPr>
        <w:t>30</w:t>
      </w:r>
      <w:r>
        <w:rPr>
          <w:rFonts w:ascii="Times New Roman" w:eastAsia="Times New Roman" w:hAnsi="Times New Roman" w:cs="Times New Roman"/>
          <w:b/>
          <w:color w:val="000000"/>
        </w:rPr>
        <w:t xml:space="preserve"> e das 1</w:t>
      </w:r>
      <w:r>
        <w:rPr>
          <w:rFonts w:ascii="Times New Roman" w:eastAsia="Times New Roman" w:hAnsi="Times New Roman" w:cs="Times New Roman"/>
          <w:b/>
        </w:rPr>
        <w:t>4</w:t>
      </w:r>
      <w:r>
        <w:rPr>
          <w:rFonts w:ascii="Times New Roman" w:eastAsia="Times New Roman" w:hAnsi="Times New Roman" w:cs="Times New Roman"/>
          <w:b/>
          <w:color w:val="000000"/>
        </w:rPr>
        <w:t>:</w:t>
      </w:r>
      <w:r>
        <w:rPr>
          <w:rFonts w:ascii="Times New Roman" w:eastAsia="Times New Roman" w:hAnsi="Times New Roman" w:cs="Times New Roman"/>
          <w:b/>
        </w:rPr>
        <w:t>0</w:t>
      </w:r>
      <w:r>
        <w:rPr>
          <w:rFonts w:ascii="Times New Roman" w:eastAsia="Times New Roman" w:hAnsi="Times New Roman" w:cs="Times New Roman"/>
          <w:b/>
          <w:color w:val="000000"/>
        </w:rPr>
        <w:t>0 às 16:00</w:t>
      </w:r>
      <w:r>
        <w:rPr>
          <w:rFonts w:ascii="Times New Roman" w:eastAsia="Times New Roman" w:hAnsi="Times New Roman" w:cs="Times New Roman"/>
          <w:color w:val="000000"/>
        </w:rPr>
        <w:t xml:space="preserve">, de </w:t>
      </w:r>
      <w:r>
        <w:rPr>
          <w:rFonts w:ascii="Times New Roman" w:eastAsia="Times New Roman" w:hAnsi="Times New Roman" w:cs="Times New Roman"/>
          <w:b/>
          <w:color w:val="000000"/>
        </w:rPr>
        <w:t>segunda à quinta-feira</w:t>
      </w:r>
      <w:r>
        <w:rPr>
          <w:rFonts w:ascii="Times New Roman" w:eastAsia="Times New Roman" w:hAnsi="Times New Roman" w:cs="Times New Roman"/>
          <w:color w:val="000000"/>
        </w:rPr>
        <w:t xml:space="preserve"> e das </w:t>
      </w:r>
      <w:r>
        <w:rPr>
          <w:rFonts w:ascii="Times New Roman" w:eastAsia="Times New Roman" w:hAnsi="Times New Roman" w:cs="Times New Roman"/>
          <w:b/>
          <w:color w:val="000000"/>
        </w:rPr>
        <w:t>08:00 às 11:</w:t>
      </w:r>
      <w:r>
        <w:rPr>
          <w:rFonts w:ascii="Times New Roman" w:eastAsia="Times New Roman" w:hAnsi="Times New Roman" w:cs="Times New Roman"/>
          <w:b/>
        </w:rPr>
        <w:t>00</w:t>
      </w:r>
      <w:r>
        <w:rPr>
          <w:rFonts w:ascii="Times New Roman" w:eastAsia="Times New Roman" w:hAnsi="Times New Roman" w:cs="Times New Roman"/>
          <w:b/>
          <w:color w:val="000000"/>
        </w:rPr>
        <w:t xml:space="preserve"> nas sextas-feiras (exceto feriados).</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Arial" w:eastAsia="Arial" w:hAnsi="Arial" w:cs="Arial"/>
          <w:color w:val="000000"/>
        </w:rPr>
      </w:pPr>
      <w:r>
        <w:rPr>
          <w:rFonts w:ascii="Times New Roman" w:eastAsia="Times New Roman" w:hAnsi="Times New Roman" w:cs="Times New Roman"/>
          <w:color w:val="000000"/>
        </w:rPr>
        <w:t xml:space="preserve">No caso de </w:t>
      </w:r>
      <w:r>
        <w:rPr>
          <w:rFonts w:ascii="Times New Roman" w:eastAsia="Times New Roman" w:hAnsi="Times New Roman" w:cs="Times New Roman"/>
          <w:b/>
          <w:color w:val="000000"/>
        </w:rPr>
        <w:t>produtos perecíveis</w:t>
      </w:r>
      <w:r>
        <w:rPr>
          <w:rFonts w:ascii="Times New Roman" w:eastAsia="Times New Roman" w:hAnsi="Times New Roman" w:cs="Times New Roman"/>
          <w:color w:val="000000"/>
        </w:rPr>
        <w:t>, o prazo de validade na data da entrega não poderá ser</w:t>
      </w:r>
      <w:r>
        <w:rPr>
          <w:rFonts w:ascii="Times New Roman" w:eastAsia="Times New Roman" w:hAnsi="Times New Roman" w:cs="Times New Roman"/>
          <w:b/>
          <w:color w:val="000000"/>
        </w:rPr>
        <w:t xml:space="preserve"> inferior a 7 (sete) dias</w:t>
      </w:r>
      <w:r>
        <w:rPr>
          <w:rFonts w:ascii="Times New Roman" w:eastAsia="Times New Roman" w:hAnsi="Times New Roman" w:cs="Times New Roman"/>
          <w:color w:val="000000"/>
        </w:rPr>
        <w:t>, ou a metade do prazo total recomendado pelo fabricante.</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Arial" w:eastAsia="Arial" w:hAnsi="Arial" w:cs="Arial"/>
          <w:color w:val="000000"/>
        </w:rPr>
      </w:pPr>
      <w:r>
        <w:rPr>
          <w:rFonts w:ascii="Times New Roman" w:eastAsia="Times New Roman" w:hAnsi="Times New Roman" w:cs="Times New Roman"/>
          <w:color w:val="000000"/>
        </w:rPr>
        <w:t xml:space="preserve">No caso de produtos não perecíveis, o prazo de validade na data da entrega não poderá ser inferior a </w:t>
      </w:r>
      <w:r>
        <w:rPr>
          <w:rFonts w:ascii="Times New Roman" w:eastAsia="Times New Roman" w:hAnsi="Times New Roman" w:cs="Times New Roman"/>
          <w:b/>
          <w:color w:val="000000"/>
        </w:rPr>
        <w:t xml:space="preserve">90 (noventa) dias, </w:t>
      </w:r>
      <w:r>
        <w:rPr>
          <w:rFonts w:ascii="Times New Roman" w:eastAsia="Times New Roman" w:hAnsi="Times New Roman" w:cs="Times New Roman"/>
          <w:color w:val="000000"/>
        </w:rPr>
        <w:t>ou a metade do prazo total recomendado pelo fabricante.</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Arial" w:eastAsia="Arial" w:hAnsi="Arial" w:cs="Arial"/>
          <w:color w:val="000000"/>
        </w:rPr>
      </w:pPr>
      <w:r>
        <w:rPr>
          <w:rFonts w:ascii="Times New Roman" w:eastAsia="Times New Roman" w:hAnsi="Times New Roman" w:cs="Times New Roman"/>
          <w:color w:val="000000"/>
        </w:rPr>
        <w:t xml:space="preserve">Os bens serão recebidos provisoriamente no prazo de </w:t>
      </w:r>
      <w:r>
        <w:rPr>
          <w:rFonts w:ascii="Times New Roman" w:eastAsia="Times New Roman" w:hAnsi="Times New Roman" w:cs="Times New Roman"/>
          <w:b/>
          <w:color w:val="000000"/>
        </w:rPr>
        <w:t>02 (dois) dias</w:t>
      </w:r>
      <w:r>
        <w:rPr>
          <w:rFonts w:ascii="Times New Roman" w:eastAsia="Times New Roman" w:hAnsi="Times New Roman" w:cs="Times New Roman"/>
          <w:color w:val="000000"/>
        </w:rPr>
        <w:t>, pelo(a) responsável pelo acompanhamento e fiscalização do contrato, para efeito de posterior verificação de sua conformidade com as especificações constantes neste Termo de Referência e na proposta.</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Arial" w:eastAsia="Arial" w:hAnsi="Arial" w:cs="Arial"/>
          <w:color w:val="000000"/>
        </w:rPr>
      </w:pPr>
      <w:r>
        <w:rPr>
          <w:rFonts w:ascii="Times New Roman" w:eastAsia="Times New Roman" w:hAnsi="Times New Roman" w:cs="Times New Roman"/>
          <w:color w:val="000000"/>
        </w:rPr>
        <w:t xml:space="preserve">Os bens poderão ser rejeitados, no todo ou em parte, quando em desacordo com as especificações constantes neste Termo de Referência e na proposta, devendo ser substituídos no prazo </w:t>
      </w:r>
      <w:r>
        <w:rPr>
          <w:rFonts w:ascii="Times New Roman" w:eastAsia="Times New Roman" w:hAnsi="Times New Roman" w:cs="Times New Roman"/>
          <w:b/>
          <w:color w:val="000000"/>
        </w:rPr>
        <w:t xml:space="preserve">de </w:t>
      </w:r>
      <w:r>
        <w:rPr>
          <w:rFonts w:ascii="Times New Roman" w:eastAsia="Times New Roman" w:hAnsi="Times New Roman" w:cs="Times New Roman"/>
          <w:b/>
        </w:rPr>
        <w:t>10</w:t>
      </w:r>
      <w:r>
        <w:rPr>
          <w:rFonts w:ascii="Times New Roman" w:eastAsia="Times New Roman" w:hAnsi="Times New Roman" w:cs="Times New Roman"/>
          <w:b/>
          <w:color w:val="000000"/>
        </w:rPr>
        <w:t xml:space="preserve"> (</w:t>
      </w:r>
      <w:r>
        <w:rPr>
          <w:rFonts w:ascii="Times New Roman" w:eastAsia="Times New Roman" w:hAnsi="Times New Roman" w:cs="Times New Roman"/>
          <w:b/>
        </w:rPr>
        <w:t>dez</w:t>
      </w:r>
      <w:r>
        <w:rPr>
          <w:rFonts w:ascii="Times New Roman" w:eastAsia="Times New Roman" w:hAnsi="Times New Roman" w:cs="Times New Roman"/>
          <w:b/>
          <w:color w:val="000000"/>
        </w:rPr>
        <w:t>) dias corridos</w:t>
      </w:r>
      <w:r>
        <w:rPr>
          <w:rFonts w:ascii="Times New Roman" w:eastAsia="Times New Roman" w:hAnsi="Times New Roman" w:cs="Times New Roman"/>
          <w:color w:val="000000"/>
        </w:rPr>
        <w:t>, a contar da notificação da contratada, às suas custas, sem prejuízo da aplicação das penalidades.</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Garantia, manutenção e assistência técnica</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O prazo de garantia é aquele estabelecido na Lei nº 8.078, de 11 de setembro de 1990 (Código de Defesa do Consumidor)</w:t>
      </w:r>
    </w:p>
    <w:p w:rsidR="00181559" w:rsidRDefault="00C94481">
      <w:pPr>
        <w:keepNext/>
        <w:keepLines/>
        <w:numPr>
          <w:ilvl w:val="0"/>
          <w:numId w:val="2"/>
        </w:numPr>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rPr>
      </w:pPr>
      <w:r>
        <w:rPr>
          <w:rFonts w:ascii="Times New Roman" w:eastAsia="Times New Roman" w:hAnsi="Times New Roman" w:cs="Times New Roman"/>
          <w:b/>
          <w:color w:val="000000"/>
        </w:rPr>
        <w:t>MODELO DE GESTÃO DO CONTRATO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O contrato deverá ser executado fielmente pelas partes, de acordo com as cláusulas avençadas e as normas da Lei nº 14.133, de 2021, e cada parte responderá pelas consequências de sua inexecução total ou parcial.</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Em caso de impedimento, ordem de paralisação ou suspensão do contrato, o cronograma de execução será prorrogado automaticamente pelo tempo correspondente, anotadas tais circunstâncias mediante simples apostila.</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As comunicações entre o órgão ou entidade e a contratada devem ser realizadas por escrito sempre que o ato exigir tal formalidade, admitindo-se o uso de mensagem eletrônica para esse fim.</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O órgão ou entidade poderá convocar representante da empresa para adoção de providências que devam ser cumpridas de imediato.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 Após a assinatura do contrato ou instrumento equivalente</w:t>
      </w:r>
      <w:r>
        <w:rPr>
          <w:rFonts w:ascii="Times New Roman" w:eastAsia="Times New Roman" w:hAnsi="Times New Roman" w:cs="Times New Roman"/>
          <w:strike/>
          <w:color w:val="000000"/>
        </w:rPr>
        <w:t>,</w:t>
      </w:r>
      <w:r>
        <w:rPr>
          <w:rFonts w:ascii="Times New Roman" w:eastAsia="Times New Roman" w:hAnsi="Times New Roman" w:cs="Times New Roman"/>
          <w:color w:val="00000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8363B8" w:rsidRDefault="008363B8">
      <w:pPr>
        <w:pBdr>
          <w:top w:val="nil"/>
          <w:left w:val="nil"/>
          <w:bottom w:val="nil"/>
          <w:right w:val="nil"/>
          <w:between w:val="nil"/>
        </w:pBdr>
        <w:spacing w:before="120" w:after="120" w:line="276" w:lineRule="auto"/>
        <w:jc w:val="both"/>
        <w:rPr>
          <w:rFonts w:ascii="Times New Roman" w:eastAsia="Times New Roman" w:hAnsi="Times New Roman" w:cs="Times New Roman"/>
          <w:b/>
          <w:color w:val="000000"/>
        </w:rPr>
      </w:pPr>
    </w:p>
    <w:p w:rsidR="00181559" w:rsidRDefault="00C94481">
      <w:pPr>
        <w:pBdr>
          <w:top w:val="nil"/>
          <w:left w:val="nil"/>
          <w:bottom w:val="nil"/>
          <w:right w:val="nil"/>
          <w:between w:val="nil"/>
        </w:pBdr>
        <w:spacing w:before="12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Fiscalização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A execução do contrato deverá ser acompanhada e fiscalizada pelo(s) fiscal(</w:t>
      </w:r>
      <w:proofErr w:type="spellStart"/>
      <w:r>
        <w:rPr>
          <w:rFonts w:ascii="Times New Roman" w:eastAsia="Times New Roman" w:hAnsi="Times New Roman" w:cs="Times New Roman"/>
          <w:color w:val="000000"/>
        </w:rPr>
        <w:t>is</w:t>
      </w:r>
      <w:proofErr w:type="spellEnd"/>
      <w:r>
        <w:rPr>
          <w:rFonts w:ascii="Times New Roman" w:eastAsia="Times New Roman" w:hAnsi="Times New Roman" w:cs="Times New Roman"/>
          <w:color w:val="000000"/>
        </w:rPr>
        <w:t>) do contrato, ou pelos respectivos substitutos (</w:t>
      </w:r>
      <w:hyperlink r:id="rId10" w:anchor="art117">
        <w:r>
          <w:rPr>
            <w:rFonts w:ascii="Times New Roman" w:eastAsia="Times New Roman" w:hAnsi="Times New Roman" w:cs="Times New Roman"/>
            <w:color w:val="000080"/>
            <w:u w:val="single"/>
          </w:rPr>
          <w:t>Lei nº 14.133, de 2021, art. 117, caput</w:t>
        </w:r>
      </w:hyperlink>
      <w:r>
        <w:rPr>
          <w:rFonts w:ascii="Times New Roman" w:eastAsia="Times New Roman" w:hAnsi="Times New Roman" w:cs="Times New Roman"/>
          <w:color w:val="000000"/>
        </w:rPr>
        <w:t>).</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Fiscalização Técnica</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O fiscal técnico do contrato acompanhará a execução do contrato, para que sejam cumpridas todas as condições estabelecidas no contrato, de modo a assegurar os melhores resultados para a Administração. (Decreto nº 11.246, de 2022, art. 22, VI);</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C2%A71">
        <w:r>
          <w:rPr>
            <w:rFonts w:ascii="Times New Roman" w:eastAsia="Times New Roman" w:hAnsi="Times New Roman" w:cs="Times New Roman"/>
            <w:color w:val="000080"/>
            <w:u w:val="single"/>
          </w:rPr>
          <w:t>Lei nº 14.133, de 2021, art. 117, §1º</w:t>
        </w:r>
      </w:hyperlink>
      <w:r>
        <w:rPr>
          <w:rFonts w:ascii="Times New Roman" w:eastAsia="Times New Roman" w:hAnsi="Times New Roman" w:cs="Times New Roman"/>
          <w:color w:val="000000"/>
        </w:rPr>
        <w:t xml:space="preserve">, e </w:t>
      </w:r>
      <w:hyperlink r:id="rId12" w:anchor="art22">
        <w:r>
          <w:rPr>
            <w:rFonts w:ascii="Times New Roman" w:eastAsia="Times New Roman" w:hAnsi="Times New Roman" w:cs="Times New Roman"/>
            <w:color w:val="000080"/>
            <w:u w:val="single"/>
          </w:rPr>
          <w:t>Decreto nº 11.246, de 2022, art. 22, II);</w:t>
        </w:r>
      </w:hyperlink>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Identificada qualquer inexatidão ou irregularidade, o fiscal técnico do contrato emitirá notificações para a correção da execução do contrato, determinando prazo para a correção. (</w:t>
      </w:r>
      <w:hyperlink r:id="rId13" w:anchor="art22">
        <w:r>
          <w:rPr>
            <w:rFonts w:ascii="Times New Roman" w:eastAsia="Times New Roman" w:hAnsi="Times New Roman" w:cs="Times New Roman"/>
            <w:color w:val="000080"/>
            <w:u w:val="single"/>
          </w:rPr>
          <w:t>Decreto nº 11.246, de 2022, art. 22, III</w:t>
        </w:r>
      </w:hyperlink>
      <w:r>
        <w:rPr>
          <w:rFonts w:ascii="Times New Roman" w:eastAsia="Times New Roman" w:hAnsi="Times New Roman" w:cs="Times New Roman"/>
          <w:color w:val="000000"/>
        </w:rPr>
        <w:t xml:space="preserve">); </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O fiscal técnico do contrato informará ao gestor do contato, em tempo hábil, a situação que demandar decisão ou adoção de medidas que ultrapassem sua competência, para que adote as medidas necessárias e saneadoras, se for o caso. (</w:t>
      </w:r>
      <w:hyperlink r:id="rId14" w:anchor="art22">
        <w:r>
          <w:rPr>
            <w:rFonts w:ascii="Times New Roman" w:eastAsia="Times New Roman" w:hAnsi="Times New Roman" w:cs="Times New Roman"/>
            <w:color w:val="000080"/>
            <w:u w:val="single"/>
          </w:rPr>
          <w:t>Decreto nº 11.246, de 2022, art. 22, IV</w:t>
        </w:r>
      </w:hyperlink>
      <w:r>
        <w:rPr>
          <w:rFonts w:ascii="Times New Roman" w:eastAsia="Times New Roman" w:hAnsi="Times New Roman" w:cs="Times New Roman"/>
          <w:color w:val="000000"/>
        </w:rPr>
        <w:t>).</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No caso de ocorrências que possam inviabilizar a execução do contrato nas datas aprazadas, o fiscal técnico do contrato comunicará o fato imediatamente ao gestor do contrato. (</w:t>
      </w:r>
      <w:hyperlink r:id="rId15" w:anchor="art22">
        <w:r>
          <w:rPr>
            <w:rFonts w:ascii="Times New Roman" w:eastAsia="Times New Roman" w:hAnsi="Times New Roman" w:cs="Times New Roman"/>
            <w:color w:val="000080"/>
            <w:u w:val="single"/>
          </w:rPr>
          <w:t>Decreto nº 11.246, de 2022, art. 22, V</w:t>
        </w:r>
      </w:hyperlink>
      <w:r>
        <w:rPr>
          <w:rFonts w:ascii="Times New Roman" w:eastAsia="Times New Roman" w:hAnsi="Times New Roman" w:cs="Times New Roman"/>
          <w:color w:val="000000"/>
        </w:rPr>
        <w:t>).</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O fiscal técnico do contrato comunicará ao gestor do contrato, em tempo hábil, o término do contrato sob sua responsabilidade, com vistas à renovação tempestiva ou à prorrogação contratual </w:t>
      </w:r>
      <w:hyperlink r:id="rId16" w:anchor="art22">
        <w:r>
          <w:rPr>
            <w:rFonts w:ascii="Times New Roman" w:eastAsia="Times New Roman" w:hAnsi="Times New Roman" w:cs="Times New Roman"/>
            <w:color w:val="000080"/>
            <w:u w:val="single"/>
          </w:rPr>
          <w:t>(Decreto nº 11.246, de 2022, art. 22, VII</w:t>
        </w:r>
      </w:hyperlink>
      <w:r>
        <w:rPr>
          <w:rFonts w:ascii="Times New Roman" w:eastAsia="Times New Roman" w:hAnsi="Times New Roman" w:cs="Times New Roman"/>
          <w:color w:val="000000"/>
        </w:rPr>
        <w:t>).</w:t>
      </w:r>
    </w:p>
    <w:p w:rsidR="00181559" w:rsidRDefault="00C94481">
      <w:pPr>
        <w:pBdr>
          <w:top w:val="nil"/>
          <w:left w:val="nil"/>
          <w:bottom w:val="nil"/>
          <w:right w:val="nil"/>
          <w:between w:val="nil"/>
        </w:pBdr>
        <w:spacing w:before="120" w:after="120" w:line="276" w:lineRule="auto"/>
        <w:ind w:left="284"/>
        <w:jc w:val="both"/>
        <w:rPr>
          <w:rFonts w:ascii="Times New Roman" w:eastAsia="Times New Roman" w:hAnsi="Times New Roman" w:cs="Times New Roman"/>
          <w:b/>
          <w:color w:val="000000"/>
        </w:rPr>
      </w:pPr>
      <w:r>
        <w:rPr>
          <w:rFonts w:ascii="Times New Roman" w:eastAsia="Times New Roman" w:hAnsi="Times New Roman" w:cs="Times New Roman"/>
          <w:b/>
          <w:color w:val="000000"/>
        </w:rPr>
        <w:t>Fiscalização Administrativa</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O fiscal administrativo do contrato verificará a manutenção das condições de habilitação da contratada, acompanhará o empenho, o pagamento, as garantias, as glosas e a formalização de </w:t>
      </w:r>
      <w:proofErr w:type="spellStart"/>
      <w:r>
        <w:rPr>
          <w:rFonts w:ascii="Times New Roman" w:eastAsia="Times New Roman" w:hAnsi="Times New Roman" w:cs="Times New Roman"/>
          <w:color w:val="000000"/>
        </w:rPr>
        <w:t>apostilamento</w:t>
      </w:r>
      <w:proofErr w:type="spellEnd"/>
      <w:r>
        <w:rPr>
          <w:rFonts w:ascii="Times New Roman" w:eastAsia="Times New Roman" w:hAnsi="Times New Roman" w:cs="Times New Roman"/>
          <w:color w:val="000000"/>
        </w:rPr>
        <w:t xml:space="preserve"> e termos aditivos, solicitando quaisquer documentos comprobatórios pertinentes, caso necessário (</w:t>
      </w:r>
      <w:hyperlink r:id="rId17" w:anchor="art23">
        <w:r>
          <w:rPr>
            <w:rFonts w:ascii="Times New Roman" w:eastAsia="Times New Roman" w:hAnsi="Times New Roman" w:cs="Times New Roman"/>
            <w:color w:val="000080"/>
            <w:u w:val="single"/>
          </w:rPr>
          <w:t>Art. 23, I e II, do Decreto nº 11.246, de 2022</w:t>
        </w:r>
      </w:hyperlink>
      <w:r>
        <w:rPr>
          <w:rFonts w:ascii="Times New Roman" w:eastAsia="Times New Roman" w:hAnsi="Times New Roman" w:cs="Times New Roman"/>
          <w:color w:val="000000"/>
        </w:rPr>
        <w:t>).</w:t>
      </w:r>
    </w:p>
    <w:p w:rsidR="00181559" w:rsidRPr="008363B8"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8" w:anchor="art23">
        <w:r>
          <w:rPr>
            <w:rFonts w:ascii="Times New Roman" w:eastAsia="Times New Roman" w:hAnsi="Times New Roman" w:cs="Times New Roman"/>
            <w:color w:val="000080"/>
            <w:u w:val="single"/>
          </w:rPr>
          <w:t>Decreto nº 11.246, de 2022, art. 23, IV</w:t>
        </w:r>
      </w:hyperlink>
      <w:r>
        <w:rPr>
          <w:rFonts w:ascii="Times New Roman" w:eastAsia="Times New Roman" w:hAnsi="Times New Roman" w:cs="Times New Roman"/>
          <w:color w:val="000000"/>
        </w:rPr>
        <w:t>).</w:t>
      </w:r>
    </w:p>
    <w:p w:rsidR="008363B8" w:rsidRDefault="008363B8" w:rsidP="008363B8">
      <w:pPr>
        <w:pBdr>
          <w:top w:val="nil"/>
          <w:left w:val="nil"/>
          <w:bottom w:val="nil"/>
          <w:right w:val="nil"/>
          <w:between w:val="nil"/>
        </w:pBdr>
        <w:spacing w:before="120" w:after="120" w:line="276" w:lineRule="auto"/>
        <w:ind w:left="1781"/>
        <w:jc w:val="both"/>
        <w:rPr>
          <w:rFonts w:ascii="Times New Roman" w:eastAsia="Times New Roman" w:hAnsi="Times New Roman" w:cs="Times New Roman"/>
        </w:rPr>
      </w:pP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i/>
          <w:color w:val="000000"/>
        </w:rPr>
      </w:pPr>
      <w:r>
        <w:rPr>
          <w:rFonts w:ascii="Times New Roman" w:eastAsia="Times New Roman" w:hAnsi="Times New Roman" w:cs="Times New Roman"/>
          <w:b/>
          <w:color w:val="000000"/>
        </w:rPr>
        <w:lastRenderedPageBreak/>
        <w:t>Gestor do Contrato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181559" w:rsidRPr="008363B8"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O gestor do contrato deverá enviar a documentação pertinente ao setor de contratos para a formalização dos procedimentos de liquidação e pagamento, no valor dimensionado pela fiscalização e gestão nos termos do contrato.</w:t>
      </w:r>
    </w:p>
    <w:p w:rsidR="008363B8" w:rsidRDefault="008363B8" w:rsidP="008363B8">
      <w:pPr>
        <w:pBdr>
          <w:top w:val="nil"/>
          <w:left w:val="nil"/>
          <w:bottom w:val="nil"/>
          <w:right w:val="nil"/>
          <w:between w:val="nil"/>
        </w:pBdr>
        <w:spacing w:before="120" w:after="120" w:line="276" w:lineRule="auto"/>
        <w:ind w:left="999"/>
        <w:jc w:val="both"/>
        <w:rPr>
          <w:rFonts w:ascii="Times New Roman" w:eastAsia="Times New Roman" w:hAnsi="Times New Roman" w:cs="Times New Roman"/>
          <w:color w:val="000000"/>
        </w:rPr>
      </w:pPr>
    </w:p>
    <w:p w:rsidR="008363B8" w:rsidRDefault="008363B8" w:rsidP="008363B8">
      <w:pPr>
        <w:pBdr>
          <w:top w:val="nil"/>
          <w:left w:val="nil"/>
          <w:bottom w:val="nil"/>
          <w:right w:val="nil"/>
          <w:between w:val="nil"/>
        </w:pBdr>
        <w:spacing w:before="120" w:after="120" w:line="276" w:lineRule="auto"/>
        <w:ind w:left="999"/>
        <w:jc w:val="both"/>
        <w:rPr>
          <w:rFonts w:ascii="Times New Roman" w:eastAsia="Times New Roman" w:hAnsi="Times New Roman" w:cs="Times New Roman"/>
        </w:rPr>
      </w:pPr>
    </w:p>
    <w:p w:rsidR="00181559" w:rsidRDefault="00C94481">
      <w:pPr>
        <w:keepNext/>
        <w:keepLines/>
        <w:numPr>
          <w:ilvl w:val="0"/>
          <w:numId w:val="2"/>
        </w:numPr>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rPr>
      </w:pPr>
      <w:r>
        <w:rPr>
          <w:rFonts w:ascii="Times New Roman" w:eastAsia="Times New Roman" w:hAnsi="Times New Roman" w:cs="Times New Roman"/>
          <w:b/>
          <w:color w:val="000000"/>
        </w:rPr>
        <w:lastRenderedPageBreak/>
        <w:t>CRITÉRIOS DE MEDIÇÃO E DE PAGAMENTO</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Recebimento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Pr>
          <w:rFonts w:ascii="Times New Roman" w:eastAsia="Times New Roman" w:hAnsi="Times New Roman" w:cs="Times New Roman"/>
          <w:color w:val="FF0000"/>
        </w:rPr>
        <w:t xml:space="preserve"> </w:t>
      </w:r>
      <w:r>
        <w:rPr>
          <w:rFonts w:ascii="Times New Roman" w:eastAsia="Times New Roman" w:hAnsi="Times New Roman" w:cs="Times New Roman"/>
          <w:color w:val="000000"/>
        </w:rPr>
        <w:t>e na proposta.</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Os bens poderão ser rejeitados, no todo ou em parte, inclusive antes do recebimento provisório, quando em desacordo com as especificações constantes no Termo de Referência</w:t>
      </w:r>
      <w:r>
        <w:rPr>
          <w:rFonts w:ascii="Times New Roman" w:eastAsia="Times New Roman" w:hAnsi="Times New Roman" w:cs="Times New Roman"/>
          <w:color w:val="FF0000"/>
        </w:rPr>
        <w:t xml:space="preserve"> </w:t>
      </w:r>
      <w:r>
        <w:rPr>
          <w:rFonts w:ascii="Times New Roman" w:eastAsia="Times New Roman" w:hAnsi="Times New Roman" w:cs="Times New Roman"/>
          <w:color w:val="000000"/>
        </w:rPr>
        <w:t>e na proposta, devendo ser substituídos no prazo de 10 dias corridos, a contar da notificação da contratada, às suas custas, sem prejuízo da aplicação das penalidades.</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O recebimento definitivo ocorrerá no prazo de 120 dias, a contar do recebimento da nota fiscal ou instrumento de cobrança equivalente pela Administração, após a verificação da qualidade e quantidade do material e consequente aceitação mediante termo detalhado.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Para as contratações decorrentes de despesas cujos valores não ultrapassem o limite de que trata o </w:t>
      </w:r>
      <w:hyperlink r:id="rId19" w:anchor="art75">
        <w:r>
          <w:rPr>
            <w:rFonts w:ascii="Times New Roman" w:eastAsia="Times New Roman" w:hAnsi="Times New Roman" w:cs="Times New Roman"/>
            <w:color w:val="000080"/>
            <w:u w:val="single"/>
          </w:rPr>
          <w:t>inciso II do art. 75 da Lei nº 14.133, de 2021</w:t>
        </w:r>
      </w:hyperlink>
      <w:r>
        <w:rPr>
          <w:rFonts w:ascii="Times New Roman" w:eastAsia="Times New Roman" w:hAnsi="Times New Roman" w:cs="Times New Roman"/>
          <w:color w:val="000000"/>
        </w:rPr>
        <w:t>, o prazo máximo para o recebimento definitivo será de até 120 dias úteis.</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O prazo para recebimento definitivo poderá ser excepcionalmente prorrogado, de forma justificada, por igual período, quando houver necessidade de diligências para a aferição do atendimento das exigências contratuais.</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No caso de controvérsia sobre a execução do objeto, quanto à dimensão, qualidade e quantidade, deverá ser observado o teor do </w:t>
      </w:r>
      <w:hyperlink r:id="rId20" w:anchor="art143">
        <w:r>
          <w:rPr>
            <w:rFonts w:ascii="Times New Roman" w:eastAsia="Times New Roman" w:hAnsi="Times New Roman" w:cs="Times New Roman"/>
            <w:color w:val="000080"/>
            <w:u w:val="single"/>
          </w:rPr>
          <w:t>art. 143 da Lei nº 14.133, de 2021</w:t>
        </w:r>
      </w:hyperlink>
      <w:r>
        <w:rPr>
          <w:rFonts w:ascii="Times New Roman" w:eastAsia="Times New Roman" w:hAnsi="Times New Roman" w:cs="Times New Roman"/>
          <w:color w:val="000000"/>
        </w:rPr>
        <w:t xml:space="preserve">, comunicando-se à empresa para emissão de Nota Fiscal no que </w:t>
      </w:r>
      <w:proofErr w:type="spellStart"/>
      <w:r>
        <w:rPr>
          <w:rFonts w:ascii="Times New Roman" w:eastAsia="Times New Roman" w:hAnsi="Times New Roman" w:cs="Times New Roman"/>
          <w:color w:val="000000"/>
        </w:rPr>
        <w:t>pertine</w:t>
      </w:r>
      <w:proofErr w:type="spellEnd"/>
      <w:r>
        <w:rPr>
          <w:rFonts w:ascii="Times New Roman" w:eastAsia="Times New Roman" w:hAnsi="Times New Roman" w:cs="Times New Roman"/>
          <w:color w:val="000000"/>
        </w:rPr>
        <w:t xml:space="preserve"> à parcela incontroversa da execução do objeto, para efeito de liquidação e pagamento.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O recebimento provisório ou definitivo não excluirá a responsabilidade civil pela solidez e pela segurança dos bens nem a responsabilidade ético-profissional pela perfeita execução do contrato.</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Liquidação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Recebida a Nota Fiscal ou documento de cobrança equivalente, correrá o prazo de dez dias úteis para fins de liquidação, na forma desta seção, prorrogáveis por igual período, nos termos do art. 7º, §3</w:t>
      </w:r>
      <w:r>
        <w:rPr>
          <w:rFonts w:ascii="Times New Roman" w:eastAsia="Times New Roman" w:hAnsi="Times New Roman" w:cs="Times New Roman"/>
          <w:color w:val="000080"/>
          <w:u w:val="single"/>
        </w:rPr>
        <w:t>º da Instrução Normativa SEGES/ME nº 77/2022</w:t>
      </w:r>
      <w:r>
        <w:rPr>
          <w:rFonts w:ascii="Times New Roman" w:eastAsia="Times New Roman" w:hAnsi="Times New Roman" w:cs="Times New Roman"/>
          <w:color w:val="000000"/>
        </w:rPr>
        <w:t>.</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O prazo de que trata o item anterior será reduzido à metade, mantendo-se a possibilidade de prorrogação, no caso de contratações decorrentes de despesas </w:t>
      </w:r>
      <w:r>
        <w:rPr>
          <w:rFonts w:ascii="Times New Roman" w:eastAsia="Times New Roman" w:hAnsi="Times New Roman" w:cs="Times New Roman"/>
          <w:color w:val="000000"/>
        </w:rPr>
        <w:lastRenderedPageBreak/>
        <w:t xml:space="preserve">cujos valores não ultrapassem o limite de que trata o </w:t>
      </w:r>
      <w:hyperlink r:id="rId21" w:anchor="art75">
        <w:r>
          <w:rPr>
            <w:rFonts w:ascii="Times New Roman" w:eastAsia="Times New Roman" w:hAnsi="Times New Roman" w:cs="Times New Roman"/>
            <w:color w:val="000080"/>
            <w:u w:val="single"/>
          </w:rPr>
          <w:t>inciso II do art. 75 da Lei nº 14.133, de 2021</w:t>
        </w:r>
      </w:hyperlink>
      <w:r>
        <w:rPr>
          <w:rFonts w:ascii="Times New Roman" w:eastAsia="Times New Roman" w:hAnsi="Times New Roman" w:cs="Times New Roman"/>
          <w:color w:val="000000"/>
        </w:rPr>
        <w:t>.</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Para fins de liquidação, o setor competente deverá verificar se a nota fiscal ou instrumento de cobrança equivalente apresentado expressa os elementos necessários e essenciais do documento, tais como: </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o</w:t>
      </w:r>
      <w:proofErr w:type="gramEnd"/>
      <w:r>
        <w:rPr>
          <w:rFonts w:ascii="Times New Roman" w:eastAsia="Times New Roman" w:hAnsi="Times New Roman" w:cs="Times New Roman"/>
          <w:color w:val="000000"/>
        </w:rPr>
        <w:t xml:space="preserve"> prazo de validade;</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a</w:t>
      </w:r>
      <w:proofErr w:type="gramEnd"/>
      <w:r>
        <w:rPr>
          <w:rFonts w:ascii="Times New Roman" w:eastAsia="Times New Roman" w:hAnsi="Times New Roman" w:cs="Times New Roman"/>
          <w:color w:val="000000"/>
        </w:rPr>
        <w:t xml:space="preserve"> data da emissão; </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os</w:t>
      </w:r>
      <w:proofErr w:type="gramEnd"/>
      <w:r>
        <w:rPr>
          <w:rFonts w:ascii="Times New Roman" w:eastAsia="Times New Roman" w:hAnsi="Times New Roman" w:cs="Times New Roman"/>
          <w:color w:val="000000"/>
        </w:rPr>
        <w:t xml:space="preserve"> dados do contrato e do órgão contratante; </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o</w:t>
      </w:r>
      <w:proofErr w:type="gramEnd"/>
      <w:r>
        <w:rPr>
          <w:rFonts w:ascii="Times New Roman" w:eastAsia="Times New Roman" w:hAnsi="Times New Roman" w:cs="Times New Roman"/>
          <w:color w:val="000000"/>
        </w:rPr>
        <w:t xml:space="preserve"> período respectivo de execução do contrato; </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o</w:t>
      </w:r>
      <w:proofErr w:type="gramEnd"/>
      <w:r>
        <w:rPr>
          <w:rFonts w:ascii="Times New Roman" w:eastAsia="Times New Roman" w:hAnsi="Times New Roman" w:cs="Times New Roman"/>
          <w:color w:val="000000"/>
        </w:rPr>
        <w:t xml:space="preserve"> valor a pagar; e </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eventual</w:t>
      </w:r>
      <w:proofErr w:type="gramEnd"/>
      <w:r>
        <w:rPr>
          <w:rFonts w:ascii="Times New Roman" w:eastAsia="Times New Roman" w:hAnsi="Times New Roman" w:cs="Times New Roman"/>
          <w:color w:val="000000"/>
        </w:rPr>
        <w:t xml:space="preserve"> destaque do valor de retenções tributárias cabíveis.</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A nota fiscal ou instrumento de cobrança equivalente deverá ser obrigatoriamente acompanhado da comprovação da regularidade fiscal, constatada por meio de consulta </w:t>
      </w:r>
      <w:r>
        <w:rPr>
          <w:rFonts w:ascii="Times New Roman" w:eastAsia="Times New Roman" w:hAnsi="Times New Roman" w:cs="Times New Roman"/>
          <w:i/>
          <w:color w:val="000000"/>
        </w:rPr>
        <w:t>on-line</w:t>
      </w:r>
      <w:r>
        <w:rPr>
          <w:rFonts w:ascii="Times New Roman" w:eastAsia="Times New Roman" w:hAnsi="Times New Roman" w:cs="Times New Roman"/>
          <w:color w:val="000000"/>
        </w:rPr>
        <w:t xml:space="preserve"> ao SICAF ou, na impossibilidade de acesso ao referido Sistema, mediante consulta aos sítios eletrônicos oficiais ou à documentação mencionada no </w:t>
      </w:r>
      <w:hyperlink r:id="rId22" w:anchor="art68">
        <w:r>
          <w:rPr>
            <w:rFonts w:ascii="Times New Roman" w:eastAsia="Times New Roman" w:hAnsi="Times New Roman" w:cs="Times New Roman"/>
            <w:color w:val="000080"/>
            <w:u w:val="single"/>
          </w:rPr>
          <w:t xml:space="preserve">art. 68 da Lei nº 14.133, de 2021.  </w:t>
        </w:r>
      </w:hyperlink>
      <w:r>
        <w:rPr>
          <w:rFonts w:ascii="Times New Roman" w:eastAsia="Times New Roman" w:hAnsi="Times New Roman" w:cs="Times New Roman"/>
          <w:color w:val="000000"/>
        </w:rPr>
        <w:t xml:space="preserve"> </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Persistindo a irregularidade, o contratante deverá adotar as medidas necessárias à rescisão contratual nos autos do processo administrativo correspondente, assegurada ao contratado a ampla defesa. </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Havendo a efetiva execução do objeto, os pagamentos serão realizados normalmente, até que se decida pela rescisão do contrato, caso o contratado não regularize sua situação junto ao SICAF.  </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Prazo de pagamento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O pagamento será efetuado no prazo de até 10 (dez) dias úteis contados da finalização da liquidação da despesa, conforme seção anterior, nos termos da </w:t>
      </w:r>
      <w:hyperlink r:id="rId23">
        <w:r>
          <w:rPr>
            <w:rFonts w:ascii="Times New Roman" w:eastAsia="Times New Roman" w:hAnsi="Times New Roman" w:cs="Times New Roman"/>
            <w:color w:val="000080"/>
            <w:u w:val="single"/>
          </w:rPr>
          <w:t>Instrução Normativa SEGES/ME nº 77, de 2022</w:t>
        </w:r>
      </w:hyperlink>
      <w:r>
        <w:rPr>
          <w:rFonts w:ascii="Times New Roman" w:eastAsia="Times New Roman" w:hAnsi="Times New Roman" w:cs="Times New Roman"/>
          <w:color w:val="000000"/>
        </w:rPr>
        <w:t>.</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No caso de atraso pelo Contratante, os valores devidos ao contratado serão atualizados monetariamente entre o termo final do prazo de pagamento até a data de sua efetiva realização, mediante aplicação do índice da SELIC de correção monetária.</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Forma de pagamento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O pagamento será realizado por meio de ordem bancária, para crédito em banco, agência e conta corrente indicados pelo contratado.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Será considerada data do pagamento o dia em que constar como emitida a ordem bancária para pagamento.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Quando do pagamento, será efetuada a retenção tributária prevista na legislação aplicável.</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Independentemente do percentual de tributo inserido na planilha, quando houver, serão retidos na fonte, quando da realização do pagamento, os percentuais estabelecidos na legislação vigente.</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O contratado regularmente optante pelo Simples Nacional, nos termos da </w:t>
      </w:r>
      <w:hyperlink r:id="rId24">
        <w:r>
          <w:rPr>
            <w:rFonts w:ascii="Times New Roman" w:eastAsia="Times New Roman" w:hAnsi="Times New Roman" w:cs="Times New Roman"/>
            <w:color w:val="000080"/>
            <w:u w:val="single"/>
          </w:rPr>
          <w:t>Lei Complementar nº 123, de 2006</w:t>
        </w:r>
      </w:hyperlink>
      <w:r>
        <w:rPr>
          <w:rFonts w:ascii="Times New Roman" w:eastAsia="Times New Roman" w:hAnsi="Times New Roman" w:cs="Times New Roman"/>
          <w:color w:val="00000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Cessão de crédito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É admitida a cessão fiduciária de direitos creditícios com instituição financeira, nos termos e de acordo com os procedimentos previstos na </w:t>
      </w:r>
      <w:hyperlink r:id="rId25">
        <w:r>
          <w:rPr>
            <w:rFonts w:ascii="Times New Roman" w:eastAsia="Times New Roman" w:hAnsi="Times New Roman" w:cs="Times New Roman"/>
            <w:color w:val="000080"/>
            <w:u w:val="single"/>
          </w:rPr>
          <w:t>Instrução Normativa SEGES/ME nº 53, de 8 de Julho de 2020</w:t>
        </w:r>
      </w:hyperlink>
      <w:r>
        <w:rPr>
          <w:rFonts w:ascii="Times New Roman" w:eastAsia="Times New Roman" w:hAnsi="Times New Roman" w:cs="Times New Roman"/>
          <w:color w:val="000000"/>
        </w:rPr>
        <w:t>, conforme as regras deste presente tópico.</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highlight w:val="white"/>
        </w:rPr>
      </w:pPr>
      <w:bookmarkStart w:id="1" w:name="_heading=h.30j0zll" w:colFirst="0" w:colLast="0"/>
      <w:bookmarkEnd w:id="1"/>
      <w:r>
        <w:rPr>
          <w:rFonts w:ascii="Times New Roman" w:eastAsia="Times New Roman" w:hAnsi="Times New Roman" w:cs="Times New Roman"/>
          <w:color w:val="000000"/>
          <w:highlight w:val="white"/>
        </w:rPr>
        <w:t>As cessões de crédito não abrangidas pela Instrução Normativa SEGES/ME nº 53, de 8 de julho de 2020 dependerão de prévia aprovação do contratante.</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eficácia da cessão de crédito não abrangidas pela Instrução Normativa SEGES/ME nº 53, de 8 de julho de 2020, em relação à Administração, está condicionada à celebração de termo aditivo ao contrato administrativo.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bookmarkStart w:id="2" w:name="_heading=h.1fob9te" w:colFirst="0" w:colLast="0"/>
      <w:bookmarkEnd w:id="2"/>
      <w:r>
        <w:rPr>
          <w:rFonts w:ascii="Times New Roman" w:eastAsia="Times New Roman" w:hAnsi="Times New Roman" w:cs="Times New Roman"/>
          <w:color w:val="000000"/>
        </w:rPr>
        <w:lastRenderedPageBreak/>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6" w:anchor=":~:text=LEI%20N%C2%BA%208.429%2C%20DE%202%20DE%20JUNHO%20DE%201992&amp;text=Disp%C3%B5e%20sobre%20as%20san%C3%A7%C3%B5es%20aplic%C3%A1veis,fundacional%20e%20d%C3%A1%20outras%20provid%C3%AAncias.">
        <w:r>
          <w:rPr>
            <w:rFonts w:ascii="Times New Roman" w:eastAsia="Times New Roman" w:hAnsi="Times New Roman" w:cs="Times New Roman"/>
            <w:color w:val="000080"/>
            <w:u w:val="single"/>
          </w:rPr>
          <w:t>o art. 12 da Lei nº 8.429, de 1992</w:t>
        </w:r>
      </w:hyperlink>
      <w:r>
        <w:rPr>
          <w:rFonts w:ascii="Times New Roman" w:eastAsia="Times New Roman" w:hAnsi="Times New Roman" w:cs="Times New Roman"/>
          <w:color w:val="000000"/>
        </w:rPr>
        <w:t xml:space="preserve">, nos termos do </w:t>
      </w:r>
      <w:hyperlink r:id="rId27">
        <w:r>
          <w:rPr>
            <w:rFonts w:ascii="Times New Roman" w:eastAsia="Times New Roman" w:hAnsi="Times New Roman" w:cs="Times New Roman"/>
            <w:color w:val="000080"/>
            <w:u w:val="single"/>
          </w:rPr>
          <w:t>Parecer JL-01, de 18 de maio de 2020.</w:t>
        </w:r>
      </w:hyperlink>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cessão de crédito não afetará a execução do objeto contratado, que continuará sob a integral responsabilidade do contratado.</w:t>
      </w:r>
    </w:p>
    <w:p w:rsidR="00181559" w:rsidRDefault="00C94481">
      <w:pPr>
        <w:keepNext/>
        <w:keepLines/>
        <w:numPr>
          <w:ilvl w:val="0"/>
          <w:numId w:val="2"/>
        </w:numPr>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rPr>
      </w:pPr>
      <w:r>
        <w:rPr>
          <w:rFonts w:ascii="Times New Roman" w:eastAsia="Times New Roman" w:hAnsi="Times New Roman" w:cs="Times New Roman"/>
          <w:b/>
          <w:color w:val="000000"/>
        </w:rPr>
        <w:t>FORMA E CRITÉRIOS DE SELEÇÃO DO FORNECEDOR E FORMA DE FORNECIMENTO</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highlight w:val="yellow"/>
        </w:rPr>
      </w:pPr>
      <w:r>
        <w:rPr>
          <w:rFonts w:ascii="Times New Roman" w:eastAsia="Times New Roman" w:hAnsi="Times New Roman" w:cs="Times New Roman"/>
          <w:b/>
          <w:color w:val="000000"/>
        </w:rPr>
        <w:t>Forma de seleção e critério de julgamento da proposta</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O fornecedor será selecionado por meio da realização de procedimento de LICITAÇÃO, na modalidade PREGÃO, sob a forma ELETRÔNICA, com adoção do critério de julgamento pelo MENOR PREÇO. </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Forma de fornecimento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highlight w:val="white"/>
        </w:rPr>
        <w:t xml:space="preserve">O fornecimento do objeto será </w:t>
      </w:r>
      <w:r>
        <w:rPr>
          <w:rFonts w:ascii="Times New Roman" w:eastAsia="Times New Roman" w:hAnsi="Times New Roman" w:cs="Times New Roman"/>
        </w:rPr>
        <w:t>integral</w:t>
      </w:r>
      <w:r>
        <w:rPr>
          <w:rFonts w:ascii="Times New Roman" w:eastAsia="Times New Roman" w:hAnsi="Times New Roman" w:cs="Times New Roman"/>
          <w:highlight w:val="white"/>
        </w:rPr>
        <w:t xml:space="preserve"> feito em remessa única ou de forma parcelada, de acordo com o que for solicitado pelo demandante.</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Exigências de habilitação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Para fins de habilitação, deverá o licitante comprovar os seguintes requisitos:</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Habilitação jurídica</w:t>
      </w:r>
    </w:p>
    <w:p w:rsidR="00181559" w:rsidRDefault="00C94481" w:rsidP="003E2530">
      <w:pPr>
        <w:numPr>
          <w:ilvl w:val="1"/>
          <w:numId w:val="2"/>
        </w:numPr>
        <w:pBdr>
          <w:top w:val="nil"/>
          <w:left w:val="nil"/>
          <w:bottom w:val="nil"/>
          <w:right w:val="nil"/>
          <w:between w:val="nil"/>
        </w:pBdr>
        <w:spacing w:before="120" w:after="120" w:line="276" w:lineRule="auto"/>
        <w:jc w:val="both"/>
      </w:pPr>
      <w:bookmarkStart w:id="3" w:name="_heading=h.3znysh7" w:colFirst="0" w:colLast="0"/>
      <w:bookmarkEnd w:id="3"/>
      <w:r>
        <w:rPr>
          <w:rFonts w:ascii="Times New Roman" w:eastAsia="Times New Roman" w:hAnsi="Times New Roman" w:cs="Times New Roman"/>
          <w:b/>
          <w:color w:val="000000"/>
        </w:rPr>
        <w:t>Pessoa física:</w:t>
      </w:r>
      <w:r>
        <w:rPr>
          <w:rFonts w:ascii="Times New Roman" w:eastAsia="Times New Roman" w:hAnsi="Times New Roman" w:cs="Times New Roman"/>
          <w:color w:val="000000"/>
        </w:rPr>
        <w:t xml:space="preserve"> cédula de identidade (RG) ou documento equivalente que, por força de lei, tenha validade para fins de identificação em todo o território nacional;</w:t>
      </w:r>
    </w:p>
    <w:p w:rsidR="00181559" w:rsidRDefault="00C94481" w:rsidP="003E2530">
      <w:pPr>
        <w:numPr>
          <w:ilvl w:val="1"/>
          <w:numId w:val="2"/>
        </w:numPr>
        <w:pBdr>
          <w:top w:val="nil"/>
          <w:left w:val="nil"/>
          <w:bottom w:val="nil"/>
          <w:right w:val="nil"/>
          <w:between w:val="nil"/>
        </w:pBdr>
        <w:spacing w:before="120" w:after="120" w:line="276" w:lineRule="auto"/>
        <w:jc w:val="both"/>
      </w:pPr>
      <w:r>
        <w:rPr>
          <w:rFonts w:ascii="Times New Roman" w:eastAsia="Times New Roman" w:hAnsi="Times New Roman" w:cs="Times New Roman"/>
          <w:b/>
          <w:color w:val="000000"/>
        </w:rPr>
        <w:t>Empresário individual:</w:t>
      </w:r>
      <w:r>
        <w:rPr>
          <w:rFonts w:ascii="Times New Roman" w:eastAsia="Times New Roman" w:hAnsi="Times New Roman" w:cs="Times New Roman"/>
          <w:color w:val="000000"/>
        </w:rPr>
        <w:t xml:space="preserve"> inscrição no Registro Público de Empresas Mercantis, a cargo da Junta Comercial da respectiva sede; </w:t>
      </w:r>
    </w:p>
    <w:p w:rsidR="00181559" w:rsidRDefault="00C94481" w:rsidP="003E2530">
      <w:pPr>
        <w:numPr>
          <w:ilvl w:val="1"/>
          <w:numId w:val="2"/>
        </w:numPr>
        <w:pBdr>
          <w:top w:val="nil"/>
          <w:left w:val="nil"/>
          <w:bottom w:val="nil"/>
          <w:right w:val="nil"/>
          <w:between w:val="nil"/>
        </w:pBdr>
        <w:spacing w:before="120" w:after="120" w:line="276" w:lineRule="auto"/>
        <w:jc w:val="both"/>
      </w:pPr>
      <w:r>
        <w:rPr>
          <w:rFonts w:ascii="Times New Roman" w:eastAsia="Times New Roman" w:hAnsi="Times New Roman" w:cs="Times New Roman"/>
          <w:b/>
          <w:color w:val="000000"/>
        </w:rPr>
        <w:lastRenderedPageBreak/>
        <w:t>Microempreendedor Individual - MEI:</w:t>
      </w:r>
      <w:r>
        <w:rPr>
          <w:rFonts w:ascii="Times New Roman" w:eastAsia="Times New Roman" w:hAnsi="Times New Roman" w:cs="Times New Roman"/>
          <w:color w:val="000000"/>
        </w:rPr>
        <w:t xml:space="preserve"> Certificado da Condição de Microempreendedor Individual - CCMEI, cuja aceitação ficará condicionada à verificação da autenticidade no sítio </w:t>
      </w:r>
      <w:hyperlink r:id="rId28">
        <w:r>
          <w:rPr>
            <w:rFonts w:ascii="Times New Roman" w:eastAsia="Times New Roman" w:hAnsi="Times New Roman" w:cs="Times New Roman"/>
            <w:color w:val="000080"/>
            <w:u w:val="single"/>
          </w:rPr>
          <w:t>https://www.gov.br/empresas-e-negocios/pt-br/empreendedor</w:t>
        </w:r>
      </w:hyperlink>
      <w:r>
        <w:rPr>
          <w:rFonts w:ascii="Times New Roman" w:eastAsia="Times New Roman" w:hAnsi="Times New Roman" w:cs="Times New Roman"/>
          <w:color w:val="000000"/>
        </w:rPr>
        <w:t xml:space="preserve">; </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181559" w:rsidRDefault="00C94481" w:rsidP="003E2530">
      <w:pPr>
        <w:numPr>
          <w:ilvl w:val="1"/>
          <w:numId w:val="2"/>
        </w:numPr>
        <w:pBdr>
          <w:top w:val="nil"/>
          <w:left w:val="nil"/>
          <w:bottom w:val="nil"/>
          <w:right w:val="nil"/>
          <w:between w:val="nil"/>
        </w:pBdr>
        <w:spacing w:before="120" w:after="120" w:line="276" w:lineRule="auto"/>
        <w:jc w:val="both"/>
      </w:pPr>
      <w:r>
        <w:rPr>
          <w:rFonts w:ascii="Times New Roman" w:eastAsia="Times New Roman" w:hAnsi="Times New Roman" w:cs="Times New Roman"/>
          <w:b/>
          <w:color w:val="000000"/>
        </w:rPr>
        <w:t>Sociedade empresária estrangeira:</w:t>
      </w:r>
      <w:r>
        <w:rPr>
          <w:rFonts w:ascii="Times New Roman" w:eastAsia="Times New Roman" w:hAnsi="Times New Roman" w:cs="Times New Roman"/>
          <w:color w:val="00000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9">
        <w:r>
          <w:rPr>
            <w:rFonts w:ascii="Times New Roman" w:eastAsia="Times New Roman" w:hAnsi="Times New Roman" w:cs="Times New Roman"/>
            <w:color w:val="000080"/>
            <w:u w:val="single"/>
          </w:rPr>
          <w:t>Normativa DREI/ME n.º 77, de 18 de março de 2020</w:t>
        </w:r>
      </w:hyperlink>
      <w:r>
        <w:rPr>
          <w:rFonts w:ascii="Times New Roman" w:eastAsia="Times New Roman" w:hAnsi="Times New Roman" w:cs="Times New Roman"/>
          <w:color w:val="000000"/>
        </w:rPr>
        <w:t>.</w:t>
      </w:r>
    </w:p>
    <w:p w:rsidR="00181559" w:rsidRDefault="00C94481" w:rsidP="003E2530">
      <w:pPr>
        <w:numPr>
          <w:ilvl w:val="1"/>
          <w:numId w:val="2"/>
        </w:numPr>
        <w:pBdr>
          <w:top w:val="nil"/>
          <w:left w:val="nil"/>
          <w:bottom w:val="nil"/>
          <w:right w:val="nil"/>
          <w:between w:val="nil"/>
        </w:pBdr>
        <w:spacing w:before="120" w:after="120" w:line="276" w:lineRule="auto"/>
        <w:jc w:val="both"/>
      </w:pPr>
      <w:r>
        <w:rPr>
          <w:rFonts w:ascii="Times New Roman" w:eastAsia="Times New Roman" w:hAnsi="Times New Roman" w:cs="Times New Roman"/>
          <w:b/>
          <w:color w:val="000000"/>
        </w:rPr>
        <w:t xml:space="preserve">Sociedade simples: </w:t>
      </w:r>
      <w:r>
        <w:rPr>
          <w:rFonts w:ascii="Times New Roman" w:eastAsia="Times New Roman" w:hAnsi="Times New Roman" w:cs="Times New Roman"/>
          <w:color w:val="000000"/>
        </w:rPr>
        <w:t>inscrição do ato constitutivo no Registro Civil de Pessoas Jurídicas do local de sua sede, acompanhada de documento comprobatório de seus administradores;</w:t>
      </w:r>
    </w:p>
    <w:p w:rsidR="00181559" w:rsidRDefault="00C94481" w:rsidP="003E2530">
      <w:pPr>
        <w:numPr>
          <w:ilvl w:val="1"/>
          <w:numId w:val="2"/>
        </w:numPr>
        <w:pBdr>
          <w:top w:val="nil"/>
          <w:left w:val="nil"/>
          <w:bottom w:val="nil"/>
          <w:right w:val="nil"/>
          <w:between w:val="nil"/>
        </w:pBdr>
        <w:spacing w:before="120" w:after="120" w:line="276" w:lineRule="auto"/>
        <w:jc w:val="both"/>
      </w:pPr>
      <w:bookmarkStart w:id="4" w:name="_heading=h.2et92p0" w:colFirst="0" w:colLast="0"/>
      <w:bookmarkEnd w:id="4"/>
      <w:r>
        <w:rPr>
          <w:rFonts w:ascii="Times New Roman" w:eastAsia="Times New Roman" w:hAnsi="Times New Roman" w:cs="Times New Roman"/>
          <w:b/>
          <w:color w:val="000000"/>
        </w:rPr>
        <w:t>Filial, sucursal ou agência de sociedade simples ou empresária:</w:t>
      </w:r>
      <w:r>
        <w:rPr>
          <w:rFonts w:ascii="Times New Roman" w:eastAsia="Times New Roman" w:hAnsi="Times New Roman" w:cs="Times New Roman"/>
          <w:color w:val="000000"/>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181559" w:rsidRDefault="00C94481" w:rsidP="003E2530">
      <w:pPr>
        <w:numPr>
          <w:ilvl w:val="1"/>
          <w:numId w:val="2"/>
        </w:numPr>
        <w:pBdr>
          <w:top w:val="nil"/>
          <w:left w:val="nil"/>
          <w:bottom w:val="nil"/>
          <w:right w:val="nil"/>
          <w:between w:val="nil"/>
        </w:pBdr>
        <w:spacing w:before="120" w:after="120" w:line="276" w:lineRule="auto"/>
        <w:jc w:val="both"/>
      </w:pPr>
      <w:r>
        <w:rPr>
          <w:rFonts w:ascii="Times New Roman" w:eastAsia="Times New Roman" w:hAnsi="Times New Roman" w:cs="Times New Roman"/>
          <w:b/>
          <w:color w:val="000000"/>
        </w:rPr>
        <w:t>Sociedade cooperativa:</w:t>
      </w:r>
      <w:r>
        <w:rPr>
          <w:rFonts w:ascii="Times New Roman" w:eastAsia="Times New Roman" w:hAnsi="Times New Roman" w:cs="Times New Roman"/>
          <w:color w:val="000000"/>
        </w:rPr>
        <w:t xml:space="preserve"> ata de fundação e estatuto social, com a ata da assembleia que o aprovou, devidamente arquivado na Junta Comercial ou inscrito no Registro Civil das Pessoas Jurídicas da respectiva sede, além do registro de que trata o </w:t>
      </w:r>
      <w:hyperlink r:id="rId30" w:anchor="art107">
        <w:r>
          <w:rPr>
            <w:rFonts w:ascii="Times New Roman" w:eastAsia="Times New Roman" w:hAnsi="Times New Roman" w:cs="Times New Roman"/>
            <w:color w:val="000080"/>
            <w:u w:val="single"/>
          </w:rPr>
          <w:t>art. 107 da Lei nº 5.764, de 16 de dezembro 1971</w:t>
        </w:r>
      </w:hyperlink>
      <w:r>
        <w:rPr>
          <w:rFonts w:ascii="Times New Roman" w:eastAsia="Times New Roman" w:hAnsi="Times New Roman" w:cs="Times New Roman"/>
          <w:color w:val="000000"/>
        </w:rPr>
        <w:t>.</w:t>
      </w:r>
    </w:p>
    <w:p w:rsidR="00181559" w:rsidRDefault="00C94481" w:rsidP="003E2530">
      <w:pPr>
        <w:numPr>
          <w:ilvl w:val="1"/>
          <w:numId w:val="2"/>
        </w:numPr>
        <w:pBdr>
          <w:top w:val="nil"/>
          <w:left w:val="nil"/>
          <w:bottom w:val="nil"/>
          <w:right w:val="nil"/>
          <w:between w:val="nil"/>
        </w:pBdr>
        <w:spacing w:before="120" w:after="120" w:line="276" w:lineRule="auto"/>
        <w:jc w:val="both"/>
      </w:pPr>
      <w:r>
        <w:rPr>
          <w:rFonts w:ascii="Times New Roman" w:eastAsia="Times New Roman" w:hAnsi="Times New Roman" w:cs="Times New Roman"/>
          <w:b/>
          <w:color w:val="000000"/>
        </w:rPr>
        <w:t>Agricultor familiar:</w:t>
      </w:r>
      <w:r>
        <w:rPr>
          <w:rFonts w:ascii="Times New Roman" w:eastAsia="Times New Roman" w:hAnsi="Times New Roman" w:cs="Times New Roman"/>
          <w:color w:val="000000"/>
        </w:rPr>
        <w:t xml:space="preserve"> Declaração de Aptidão ao Pronaf – DAP ou DAP-P válida, ou, ainda, outros documentos definidos pela Secretaria Especial de Agricultura Familiar e do Desenvolvimento Agrário, nos termos do</w:t>
      </w:r>
      <w:hyperlink r:id="rId31" w:anchor="art4%C2%A72">
        <w:r>
          <w:rPr>
            <w:rFonts w:ascii="Times New Roman" w:eastAsia="Times New Roman" w:hAnsi="Times New Roman" w:cs="Times New Roman"/>
            <w:color w:val="000080"/>
            <w:u w:val="single"/>
          </w:rPr>
          <w:t xml:space="preserve"> art. 4º, §2º do Decreto nº 10.880, de 2 de dezembro de 2021</w:t>
        </w:r>
      </w:hyperlink>
      <w:r>
        <w:rPr>
          <w:rFonts w:ascii="Times New Roman" w:eastAsia="Times New Roman" w:hAnsi="Times New Roman" w:cs="Times New Roman"/>
          <w:color w:val="000000"/>
        </w:rPr>
        <w:t>.</w:t>
      </w:r>
    </w:p>
    <w:p w:rsidR="00181559" w:rsidRDefault="00C94481" w:rsidP="003E2530">
      <w:pPr>
        <w:numPr>
          <w:ilvl w:val="1"/>
          <w:numId w:val="2"/>
        </w:numPr>
        <w:pBdr>
          <w:top w:val="nil"/>
          <w:left w:val="nil"/>
          <w:bottom w:val="nil"/>
          <w:right w:val="nil"/>
          <w:between w:val="nil"/>
        </w:pBdr>
        <w:spacing w:before="120" w:after="120" w:line="276" w:lineRule="auto"/>
        <w:jc w:val="both"/>
      </w:pPr>
      <w:r>
        <w:rPr>
          <w:rFonts w:ascii="Times New Roman" w:eastAsia="Times New Roman" w:hAnsi="Times New Roman" w:cs="Times New Roman"/>
          <w:b/>
          <w:color w:val="000000"/>
        </w:rPr>
        <w:t>Produtor Rural:</w:t>
      </w:r>
      <w:r>
        <w:rPr>
          <w:rFonts w:ascii="Times New Roman" w:eastAsia="Times New Roman" w:hAnsi="Times New Roman" w:cs="Times New Roman"/>
          <w:color w:val="000000"/>
        </w:rPr>
        <w:t xml:space="preserve"> matrícula no Cadastro Específico do INSS – CEI, que comprove a qualificação como produtor rural pessoa física, nos termos da </w:t>
      </w:r>
      <w:hyperlink r:id="rId32">
        <w:r>
          <w:rPr>
            <w:rFonts w:ascii="Times New Roman" w:eastAsia="Times New Roman" w:hAnsi="Times New Roman" w:cs="Times New Roman"/>
            <w:color w:val="000080"/>
            <w:u w:val="single"/>
          </w:rPr>
          <w:t>Instrução Normativa RFB n. 971, de 13 de novembro de 2009</w:t>
        </w:r>
      </w:hyperlink>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arts</w:t>
      </w:r>
      <w:proofErr w:type="spellEnd"/>
      <w:r>
        <w:rPr>
          <w:rFonts w:ascii="Times New Roman" w:eastAsia="Times New Roman" w:hAnsi="Times New Roman" w:cs="Times New Roman"/>
          <w:color w:val="000000"/>
        </w:rPr>
        <w:t>. 17 a 19 e 165).</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Os documentos apresentados deverão estar acompanhados de todas as alterações ou da consolidação respectiva.</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Habilitação fiscal, social e trabalhista</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Prova de inscrição no Cadastro Nacional de Pessoas Jurídicas ou no Cadastro de Pessoas Físicas, conforme o caso;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w:t>
      </w:r>
      <w:r>
        <w:rPr>
          <w:rFonts w:ascii="Times New Roman" w:eastAsia="Times New Roman" w:hAnsi="Times New Roman" w:cs="Times New Roman"/>
          <w:color w:val="000000"/>
        </w:rPr>
        <w:lastRenderedPageBreak/>
        <w:t>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Prova de regularidade com o Fundo de Garantia do Tempo de Serviço (FGTS);</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Prova de inscrição no cadastro de contribuintes Estadual relativo ao domicílio ou sede do fornecedor, pertinente ao seu ramo de atividade e compatível com o objeto contratual; </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Prova de regularidade com a Fazenda Estadual</w:t>
      </w:r>
      <w:r>
        <w:rPr>
          <w:rFonts w:ascii="Times New Roman" w:eastAsia="Times New Roman" w:hAnsi="Times New Roman" w:cs="Times New Roman"/>
          <w:color w:val="FF0000"/>
        </w:rPr>
        <w:t xml:space="preserve"> </w:t>
      </w:r>
      <w:r>
        <w:rPr>
          <w:rFonts w:ascii="Times New Roman" w:eastAsia="Times New Roman" w:hAnsi="Times New Roman" w:cs="Times New Roman"/>
          <w:color w:val="000000"/>
        </w:rPr>
        <w:t>do domicílio ou sede do fornecedor, relativa à atividade em cujo exercício contrata ou concorre;</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Caso o fornecedor seja considerado isento dos tributos Estadua</w:t>
      </w:r>
      <w:r>
        <w:rPr>
          <w:rFonts w:ascii="Times New Roman" w:eastAsia="Times New Roman" w:hAnsi="Times New Roman" w:cs="Times New Roman"/>
        </w:rPr>
        <w:t>is</w:t>
      </w:r>
      <w:r>
        <w:rPr>
          <w:rFonts w:ascii="Times New Roman" w:eastAsia="Times New Roman" w:hAnsi="Times New Roman" w:cs="Times New Roman"/>
          <w:color w:val="000000"/>
        </w:rPr>
        <w:t xml:space="preserve"> relacionados ao objeto contratual, deverá comprovar tal condição mediante a apresentação de declaração da Fazenda respectiva do seu domicílio ou sede, ou outra equivalente, na forma da lei.</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181559" w:rsidRDefault="00C94481">
      <w:pPr>
        <w:keepNext/>
        <w:keepLines/>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Qualificação Econômico-Financeira</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Certidão negativa de insolvência civil expedida pelo distribuidor do domicílio ou sede do licitante, caso se trate de pessoa física, desde que admitida a sua participação na licitação (</w:t>
      </w:r>
      <w:hyperlink r:id="rId33" w:anchor="art5">
        <w:r>
          <w:rPr>
            <w:rFonts w:ascii="Times New Roman" w:eastAsia="Times New Roman" w:hAnsi="Times New Roman" w:cs="Times New Roman"/>
            <w:color w:val="000080"/>
            <w:u w:val="single"/>
          </w:rPr>
          <w:t>art. 5º, inciso II, alínea “c”, da Instrução Normativa Seges/ME nº 116, de 2021</w:t>
        </w:r>
      </w:hyperlink>
      <w:r>
        <w:rPr>
          <w:rFonts w:ascii="Times New Roman" w:eastAsia="Times New Roman" w:hAnsi="Times New Roman" w:cs="Times New Roman"/>
          <w:color w:val="000000"/>
        </w:rPr>
        <w:t xml:space="preserve">), ou de sociedade simples; </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Certidão negativa de falência expedida pelo distribuidor da sede do fornecedor - </w:t>
      </w:r>
      <w:hyperlink r:id="rId34" w:anchor="art69">
        <w:r>
          <w:rPr>
            <w:rFonts w:ascii="Times New Roman" w:eastAsia="Times New Roman" w:hAnsi="Times New Roman" w:cs="Times New Roman"/>
            <w:color w:val="000080"/>
            <w:u w:val="single"/>
          </w:rPr>
          <w:t>Lei nº 14.133, de 2021, art. 69, caput, inciso II</w:t>
        </w:r>
      </w:hyperlink>
      <w:r>
        <w:rPr>
          <w:rFonts w:ascii="Times New Roman" w:eastAsia="Times New Roman" w:hAnsi="Times New Roman" w:cs="Times New Roman"/>
          <w:color w:val="000000"/>
        </w:rPr>
        <w:t>);</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Balanço patrimonial, demonstração de resultado de exercício e demais demonstrações contábeis dos 2 (dois) últimos exercícios sociais, comprovando;</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proofErr w:type="gramStart"/>
      <w:r>
        <w:rPr>
          <w:rFonts w:ascii="Times New Roman" w:eastAsia="Times New Roman" w:hAnsi="Times New Roman" w:cs="Times New Roman"/>
          <w:color w:val="000000"/>
        </w:rPr>
        <w:t>índices</w:t>
      </w:r>
      <w:proofErr w:type="gramEnd"/>
      <w:r>
        <w:rPr>
          <w:rFonts w:ascii="Times New Roman" w:eastAsia="Times New Roman" w:hAnsi="Times New Roman" w:cs="Times New Roman"/>
          <w:color w:val="000000"/>
        </w:rPr>
        <w:t xml:space="preserve"> de Liquidez Geral (LG), Liquidez Corrente (LC), e Solvência Geral (SG) superiores a 1 (um);</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As empresas criadas no exercício financeiro da licitação deverão atender a todas as exigências da habilitação e poderão substituir os demonstrativos contábeis pelo balanço de abertura.</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Os documentos referidos acima limitar-se-ão ao último exercício no caso de a pessoa jurídica ter sido constituída há menos de 2 (dois) anos;</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lastRenderedPageBreak/>
        <w:t xml:space="preserve">Os documentos referidos acima deverão ser exigidos com base no limite definido pela Receita Federal do Brasil para transmissão da Escrituração Contábil Digital - ECD ao </w:t>
      </w:r>
      <w:proofErr w:type="spellStart"/>
      <w:r>
        <w:rPr>
          <w:rFonts w:ascii="Times New Roman" w:eastAsia="Times New Roman" w:hAnsi="Times New Roman" w:cs="Times New Roman"/>
          <w:color w:val="000000"/>
        </w:rPr>
        <w:t>Sped</w:t>
      </w:r>
      <w:proofErr w:type="spellEnd"/>
      <w:r>
        <w:rPr>
          <w:rFonts w:ascii="Times New Roman" w:eastAsia="Times New Roman" w:hAnsi="Times New Roman" w:cs="Times New Roman"/>
          <w:color w:val="000000"/>
        </w:rPr>
        <w:t>.</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Caso a empresa licitante apresente resultado inferior ou igual a 1 (um) em qualquer dos índices de Liquidez Geral (LG), Solvência Geral (SG) e Liquidez Corrente (LC), será exigido para fins de habilitação capital mínimo de 8% do valor total estimado da contratação.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As empresas criadas no exercício financeiro da licitação deverão atender a todas as exigências da habilitação e poderão substituir os demonstrativos contábeis pelo balanço de abertura. (Lei nº 14.133, de 2021, art. 65, §1º).</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O atendimento dos índices econômicos previstos neste item deverá ser atestado mediante declaração assinada por profissional habilitado da área contábil, apresentada pelo fornecedor.</w:t>
      </w:r>
    </w:p>
    <w:p w:rsidR="00181559" w:rsidRDefault="00C94481">
      <w:pPr>
        <w:keepNext/>
        <w:keepLines/>
        <w:numPr>
          <w:ilvl w:val="0"/>
          <w:numId w:val="2"/>
        </w:numPr>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rPr>
      </w:pPr>
      <w:r>
        <w:rPr>
          <w:rFonts w:ascii="Times New Roman" w:eastAsia="Times New Roman" w:hAnsi="Times New Roman" w:cs="Times New Roman"/>
          <w:b/>
          <w:color w:val="000000"/>
        </w:rPr>
        <w:t>ESTIMATIVAS DO VALOR DA CONTRATAÇÃO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 xml:space="preserve">O custo estimado total da contratação é de </w:t>
      </w:r>
      <w:r w:rsidR="00546612">
        <w:rPr>
          <w:rFonts w:ascii="Times New Roman" w:eastAsia="Times New Roman" w:hAnsi="Times New Roman" w:cs="Times New Roman"/>
          <w:highlight w:val="white"/>
        </w:rPr>
        <w:t>R$ 635</w:t>
      </w:r>
      <w:r>
        <w:rPr>
          <w:rFonts w:ascii="Times New Roman" w:eastAsia="Times New Roman" w:hAnsi="Times New Roman" w:cs="Times New Roman"/>
          <w:highlight w:val="white"/>
        </w:rPr>
        <w:t>.</w:t>
      </w:r>
      <w:r w:rsidR="00546612">
        <w:rPr>
          <w:rFonts w:ascii="Times New Roman" w:eastAsia="Times New Roman" w:hAnsi="Times New Roman" w:cs="Times New Roman"/>
          <w:highlight w:val="white"/>
        </w:rPr>
        <w:t>716</w:t>
      </w:r>
      <w:r>
        <w:rPr>
          <w:rFonts w:ascii="Times New Roman" w:eastAsia="Times New Roman" w:hAnsi="Times New Roman" w:cs="Times New Roman"/>
          <w:highlight w:val="white"/>
        </w:rPr>
        <w:t>,</w:t>
      </w:r>
      <w:r w:rsidR="00546612">
        <w:rPr>
          <w:rFonts w:ascii="Times New Roman" w:eastAsia="Times New Roman" w:hAnsi="Times New Roman" w:cs="Times New Roman"/>
          <w:highlight w:val="white"/>
        </w:rPr>
        <w:t>58</w:t>
      </w:r>
      <w:r>
        <w:rPr>
          <w:rFonts w:ascii="Times New Roman" w:eastAsia="Times New Roman" w:hAnsi="Times New Roman" w:cs="Times New Roman"/>
          <w:highlight w:val="white"/>
        </w:rPr>
        <w:t xml:space="preserve"> (</w:t>
      </w:r>
      <w:r w:rsidR="00546612">
        <w:rPr>
          <w:rFonts w:ascii="Times New Roman" w:eastAsia="Times New Roman" w:hAnsi="Times New Roman" w:cs="Times New Roman"/>
          <w:highlight w:val="white"/>
        </w:rPr>
        <w:t>Seiscentos e trinta e cinco mil, setecentos e dezesseis reais e cinquenta e oito centavos</w:t>
      </w:r>
      <w:r>
        <w:rPr>
          <w:rFonts w:ascii="Times New Roman" w:eastAsia="Times New Roman" w:hAnsi="Times New Roman" w:cs="Times New Roman"/>
          <w:highlight w:val="white"/>
        </w:rPr>
        <w:t>)</w:t>
      </w:r>
      <w:r>
        <w:rPr>
          <w:rFonts w:ascii="Times New Roman" w:eastAsia="Times New Roman" w:hAnsi="Times New Roman" w:cs="Times New Roman"/>
          <w:color w:val="000000"/>
        </w:rPr>
        <w:t>, conforme custos unitários apostos na tabela acima.</w:t>
      </w:r>
    </w:p>
    <w:p w:rsidR="00181559" w:rsidRDefault="00C94481" w:rsidP="003E2530">
      <w:pPr>
        <w:numPr>
          <w:ilvl w:val="2"/>
          <w:numId w:val="2"/>
        </w:numPr>
        <w:pBdr>
          <w:top w:val="nil"/>
          <w:left w:val="nil"/>
          <w:bottom w:val="nil"/>
          <w:right w:val="nil"/>
          <w:between w:val="nil"/>
        </w:pBdr>
        <w:spacing w:before="120" w:after="120" w:line="276" w:lineRule="auto"/>
        <w:jc w:val="both"/>
        <w:rPr>
          <w:rFonts w:cs="Ecofont_Spranq_eco_Sans"/>
          <w:i/>
          <w:highlight w:val="white"/>
        </w:rPr>
      </w:pPr>
      <w:r>
        <w:rPr>
          <w:rFonts w:ascii="Times New Roman" w:eastAsia="Times New Roman" w:hAnsi="Times New Roman" w:cs="Times New Roman"/>
          <w:color w:val="000000"/>
          <w:highlight w:val="white"/>
        </w:rPr>
        <w:t>em caso de força maior, caso fortuito ou fato do príncipe ou em decorrência de fatos imprevisíveis ou previsíveis de consequências incalculáveis, que inviabilizem a execução da ata tal como pactuada, nos termos do disposto na a</w:t>
      </w:r>
      <w:hyperlink r:id="rId35" w:anchor="art124iid">
        <w:r>
          <w:rPr>
            <w:rFonts w:ascii="Times New Roman" w:eastAsia="Times New Roman" w:hAnsi="Times New Roman" w:cs="Times New Roman"/>
            <w:color w:val="000000"/>
            <w:highlight w:val="white"/>
            <w:u w:val="single"/>
          </w:rPr>
          <w:t>línea “d” do inciso II do capu</w:t>
        </w:r>
      </w:hyperlink>
      <w:hyperlink r:id="rId36" w:anchor="art124iid">
        <w:r>
          <w:rPr>
            <w:rFonts w:ascii="Times New Roman" w:eastAsia="Times New Roman" w:hAnsi="Times New Roman" w:cs="Times New Roman"/>
            <w:b/>
            <w:color w:val="000000"/>
            <w:highlight w:val="white"/>
            <w:u w:val="single"/>
          </w:rPr>
          <w:t>t</w:t>
        </w:r>
      </w:hyperlink>
      <w:hyperlink r:id="rId37" w:anchor="art124iid">
        <w:r>
          <w:rPr>
            <w:rFonts w:ascii="Times New Roman" w:eastAsia="Times New Roman" w:hAnsi="Times New Roman" w:cs="Times New Roman"/>
            <w:color w:val="000000"/>
            <w:highlight w:val="white"/>
            <w:u w:val="single"/>
          </w:rPr>
          <w:t xml:space="preserve"> do art. 124 da Lei nº 14.133, de 2021;</w:t>
        </w:r>
      </w:hyperlink>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highlight w:val="white"/>
        </w:rPr>
      </w:pPr>
      <w:proofErr w:type="gramStart"/>
      <w:r>
        <w:rPr>
          <w:rFonts w:ascii="Times New Roman" w:eastAsia="Times New Roman" w:hAnsi="Times New Roman" w:cs="Times New Roman"/>
          <w:color w:val="000000"/>
          <w:highlight w:val="white"/>
        </w:rPr>
        <w:t>em</w:t>
      </w:r>
      <w:proofErr w:type="gramEnd"/>
      <w:r>
        <w:rPr>
          <w:rFonts w:ascii="Times New Roman" w:eastAsia="Times New Roman" w:hAnsi="Times New Roman" w:cs="Times New Roman"/>
          <w:color w:val="000000"/>
          <w:highlight w:val="white"/>
        </w:rPr>
        <w:t xml:space="preserve"> caso de criação, alteração ou extinção de quaisquer tributos ou encargos legais ou superveniência de disposições legais, com comprovada repercussão sobre os preços registrados;</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highlight w:val="white"/>
        </w:rPr>
      </w:pPr>
      <w:proofErr w:type="gramStart"/>
      <w:r>
        <w:rPr>
          <w:rFonts w:ascii="Times New Roman" w:eastAsia="Times New Roman" w:hAnsi="Times New Roman" w:cs="Times New Roman"/>
          <w:color w:val="000000"/>
          <w:highlight w:val="white"/>
        </w:rPr>
        <w:t>serão</w:t>
      </w:r>
      <w:proofErr w:type="gramEnd"/>
      <w:r>
        <w:rPr>
          <w:rFonts w:ascii="Times New Roman" w:eastAsia="Times New Roman" w:hAnsi="Times New Roman" w:cs="Times New Roman"/>
          <w:color w:val="000000"/>
          <w:highlight w:val="white"/>
        </w:rPr>
        <w:t xml:space="preserve"> reajustados os preços registrados, respeitada a contagem da anualidade e o índice previsto para a contratação; ou</w:t>
      </w:r>
    </w:p>
    <w:p w:rsidR="00181559" w:rsidRDefault="00C94481" w:rsidP="003E2530">
      <w:pPr>
        <w:numPr>
          <w:ilvl w:val="2"/>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highlight w:val="white"/>
        </w:rPr>
      </w:pPr>
      <w:proofErr w:type="gramStart"/>
      <w:r>
        <w:rPr>
          <w:rFonts w:ascii="Times New Roman" w:eastAsia="Times New Roman" w:hAnsi="Times New Roman" w:cs="Times New Roman"/>
          <w:color w:val="000000"/>
          <w:highlight w:val="white"/>
        </w:rPr>
        <w:t>poderão</w:t>
      </w:r>
      <w:proofErr w:type="gramEnd"/>
      <w:r>
        <w:rPr>
          <w:rFonts w:ascii="Times New Roman" w:eastAsia="Times New Roman" w:hAnsi="Times New Roman" w:cs="Times New Roman"/>
          <w:color w:val="000000"/>
          <w:highlight w:val="white"/>
        </w:rPr>
        <w:t xml:space="preserve"> ser repactuados, a pedido do interessado, conforme critérios definidos para a contratação.</w:t>
      </w:r>
    </w:p>
    <w:p w:rsidR="00181559" w:rsidRDefault="00C94481">
      <w:pPr>
        <w:keepNext/>
        <w:keepLines/>
        <w:numPr>
          <w:ilvl w:val="0"/>
          <w:numId w:val="2"/>
        </w:numPr>
        <w:pBdr>
          <w:top w:val="nil"/>
          <w:left w:val="nil"/>
          <w:bottom w:val="nil"/>
          <w:right w:val="nil"/>
          <w:between w:val="nil"/>
        </w:pBdr>
        <w:tabs>
          <w:tab w:val="left" w:pos="567"/>
        </w:tabs>
        <w:spacing w:before="240" w:after="120" w:line="276" w:lineRule="auto"/>
        <w:jc w:val="both"/>
        <w:rPr>
          <w:rFonts w:ascii="Times New Roman" w:eastAsia="Times New Roman" w:hAnsi="Times New Roman" w:cs="Times New Roman"/>
        </w:rPr>
      </w:pPr>
      <w:r>
        <w:rPr>
          <w:rFonts w:ascii="Times New Roman" w:eastAsia="Times New Roman" w:hAnsi="Times New Roman" w:cs="Times New Roman"/>
          <w:b/>
          <w:color w:val="000000"/>
        </w:rPr>
        <w:t>ADEQUAÇÃO ORÇAMENTÁRIA</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As despesas decorrentes da presente contratação correrão à conta de recursos específicos consignados no Orçamento Geral da União.</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rPr>
      </w:pPr>
      <w:r>
        <w:rPr>
          <w:rFonts w:ascii="Times New Roman" w:eastAsia="Times New Roman" w:hAnsi="Times New Roman" w:cs="Times New Roman"/>
          <w:color w:val="000000"/>
        </w:rPr>
        <w:t>A contratação será atendida pela seguinte dotação:</w:t>
      </w:r>
    </w:p>
    <w:p w:rsidR="00181559" w:rsidRDefault="00C94481">
      <w:pPr>
        <w:numPr>
          <w:ilvl w:val="0"/>
          <w:numId w:val="3"/>
        </w:numPr>
        <w:pBdr>
          <w:top w:val="nil"/>
          <w:left w:val="nil"/>
          <w:bottom w:val="nil"/>
          <w:right w:val="nil"/>
          <w:between w:val="nil"/>
        </w:pBdr>
        <w:spacing w:before="120" w:line="276" w:lineRule="auto"/>
        <w:ind w:left="284"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Gestão/Unidade: </w:t>
      </w:r>
      <w:r w:rsidR="00F2797B">
        <w:rPr>
          <w:rFonts w:ascii="Times New Roman" w:eastAsia="Times New Roman" w:hAnsi="Times New Roman" w:cs="Times New Roman"/>
          <w:color w:val="000000"/>
        </w:rPr>
        <w:t>160102</w:t>
      </w:r>
      <w:r>
        <w:rPr>
          <w:rFonts w:ascii="Times New Roman" w:eastAsia="Times New Roman" w:hAnsi="Times New Roman" w:cs="Times New Roman"/>
          <w:color w:val="000000"/>
        </w:rPr>
        <w:t>;</w:t>
      </w:r>
    </w:p>
    <w:p w:rsidR="00181559" w:rsidRDefault="00C94481">
      <w:pPr>
        <w:numPr>
          <w:ilvl w:val="0"/>
          <w:numId w:val="3"/>
        </w:numPr>
        <w:pBdr>
          <w:top w:val="nil"/>
          <w:left w:val="nil"/>
          <w:bottom w:val="nil"/>
          <w:right w:val="nil"/>
          <w:between w:val="nil"/>
        </w:pBdr>
        <w:spacing w:line="276" w:lineRule="auto"/>
        <w:ind w:left="284"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Fonte de Recursos: </w:t>
      </w:r>
      <w:r w:rsidR="00A128A1">
        <w:rPr>
          <w:rFonts w:ascii="Times New Roman" w:eastAsia="Times New Roman" w:hAnsi="Times New Roman" w:cs="Times New Roman"/>
          <w:color w:val="000000"/>
        </w:rPr>
        <w:t>100000000</w:t>
      </w:r>
      <w:r>
        <w:rPr>
          <w:rFonts w:ascii="Times New Roman" w:eastAsia="Times New Roman" w:hAnsi="Times New Roman" w:cs="Times New Roman"/>
          <w:color w:val="000000"/>
        </w:rPr>
        <w:t>;</w:t>
      </w:r>
    </w:p>
    <w:p w:rsidR="00181559" w:rsidRDefault="00C94481">
      <w:pPr>
        <w:numPr>
          <w:ilvl w:val="0"/>
          <w:numId w:val="3"/>
        </w:numPr>
        <w:pBdr>
          <w:top w:val="nil"/>
          <w:left w:val="nil"/>
          <w:bottom w:val="nil"/>
          <w:right w:val="nil"/>
          <w:between w:val="nil"/>
        </w:pBdr>
        <w:spacing w:line="276" w:lineRule="auto"/>
        <w:ind w:left="284"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Programa de Trabalho: </w:t>
      </w:r>
      <w:r w:rsidR="00A128A1">
        <w:rPr>
          <w:rFonts w:ascii="Times New Roman" w:eastAsia="Times New Roman" w:hAnsi="Times New Roman" w:cs="Times New Roman"/>
          <w:color w:val="000000"/>
        </w:rPr>
        <w:t>171397</w:t>
      </w:r>
      <w:r>
        <w:rPr>
          <w:rFonts w:ascii="Times New Roman" w:eastAsia="Times New Roman" w:hAnsi="Times New Roman" w:cs="Times New Roman"/>
          <w:color w:val="000000"/>
        </w:rPr>
        <w:t>;</w:t>
      </w:r>
    </w:p>
    <w:p w:rsidR="00181559" w:rsidRDefault="00C94481">
      <w:pPr>
        <w:numPr>
          <w:ilvl w:val="0"/>
          <w:numId w:val="3"/>
        </w:numPr>
        <w:pBdr>
          <w:top w:val="nil"/>
          <w:left w:val="nil"/>
          <w:bottom w:val="nil"/>
          <w:right w:val="nil"/>
          <w:between w:val="nil"/>
        </w:pBdr>
        <w:spacing w:line="276" w:lineRule="auto"/>
        <w:ind w:left="284"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Elemento de Despesa: </w:t>
      </w:r>
      <w:r w:rsidR="00A128A1">
        <w:rPr>
          <w:rFonts w:ascii="Times New Roman" w:eastAsia="Times New Roman" w:hAnsi="Times New Roman" w:cs="Times New Roman"/>
          <w:color w:val="000000"/>
        </w:rPr>
        <w:t>339030</w:t>
      </w:r>
      <w:r>
        <w:rPr>
          <w:rFonts w:ascii="Times New Roman" w:eastAsia="Times New Roman" w:hAnsi="Times New Roman" w:cs="Times New Roman"/>
          <w:color w:val="000000"/>
        </w:rPr>
        <w:t>;</w:t>
      </w:r>
    </w:p>
    <w:p w:rsidR="00181559" w:rsidRDefault="00C94481">
      <w:pPr>
        <w:numPr>
          <w:ilvl w:val="0"/>
          <w:numId w:val="3"/>
        </w:numPr>
        <w:pBdr>
          <w:top w:val="nil"/>
          <w:left w:val="nil"/>
          <w:bottom w:val="nil"/>
          <w:right w:val="nil"/>
          <w:between w:val="nil"/>
        </w:pBdr>
        <w:spacing w:after="120" w:line="276" w:lineRule="auto"/>
        <w:ind w:left="284"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Plano Interno: </w:t>
      </w:r>
      <w:r w:rsidR="00A128A1">
        <w:rPr>
          <w:rFonts w:ascii="Times New Roman" w:eastAsia="Times New Roman" w:hAnsi="Times New Roman" w:cs="Times New Roman"/>
          <w:color w:val="000000"/>
        </w:rPr>
        <w:t>E6SUPLJA1QR.</w:t>
      </w:r>
    </w:p>
    <w:p w:rsidR="00181559" w:rsidRDefault="00C94481" w:rsidP="003E2530">
      <w:pPr>
        <w:numPr>
          <w:ilvl w:val="1"/>
          <w:numId w:val="2"/>
        </w:numPr>
        <w:pBdr>
          <w:top w:val="nil"/>
          <w:left w:val="nil"/>
          <w:bottom w:val="nil"/>
          <w:right w:val="nil"/>
          <w:between w:val="nil"/>
        </w:pBdr>
        <w:spacing w:before="120" w:after="12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 dotação relativa aos exercícios financeiros subsequentes será indicada após aprovação da Lei Orçamentária respectiva e liberação dos créditos correspondentes, mediante </w:t>
      </w:r>
      <w:proofErr w:type="spellStart"/>
      <w:r>
        <w:rPr>
          <w:rFonts w:ascii="Times New Roman" w:eastAsia="Times New Roman" w:hAnsi="Times New Roman" w:cs="Times New Roman"/>
          <w:color w:val="000000"/>
        </w:rPr>
        <w:t>apostilamento</w:t>
      </w:r>
      <w:proofErr w:type="spellEnd"/>
      <w:r>
        <w:rPr>
          <w:rFonts w:ascii="Times New Roman" w:eastAsia="Times New Roman" w:hAnsi="Times New Roman" w:cs="Times New Roman"/>
          <w:color w:val="000000"/>
        </w:rPr>
        <w:t>.</w:t>
      </w:r>
    </w:p>
    <w:p w:rsidR="00181559" w:rsidRDefault="00181559">
      <w:pPr>
        <w:rPr>
          <w:rFonts w:ascii="Times New Roman" w:eastAsia="Times New Roman" w:hAnsi="Times New Roman" w:cs="Times New Roman"/>
        </w:rPr>
      </w:pPr>
    </w:p>
    <w:p w:rsidR="00181559" w:rsidRDefault="00C94481" w:rsidP="00A128A1">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rPr>
        <w:t>Jataí</w:t>
      </w:r>
      <w:r>
        <w:rPr>
          <w:rFonts w:ascii="Times New Roman" w:eastAsia="Times New Roman" w:hAnsi="Times New Roman" w:cs="Times New Roman"/>
          <w:color w:val="000000"/>
        </w:rPr>
        <w:t>-</w:t>
      </w:r>
      <w:r>
        <w:rPr>
          <w:rFonts w:ascii="Times New Roman" w:eastAsia="Times New Roman" w:hAnsi="Times New Roman" w:cs="Times New Roman"/>
        </w:rPr>
        <w:t>GO</w:t>
      </w:r>
      <w:r>
        <w:rPr>
          <w:rFonts w:ascii="Times New Roman" w:eastAsia="Times New Roman" w:hAnsi="Times New Roman" w:cs="Times New Roman"/>
          <w:color w:val="000000"/>
        </w:rPr>
        <w:t xml:space="preserve">, em </w:t>
      </w:r>
      <w:r w:rsidR="00503F24">
        <w:rPr>
          <w:rFonts w:ascii="Times New Roman" w:eastAsia="Times New Roman" w:hAnsi="Times New Roman" w:cs="Times New Roman"/>
          <w:color w:val="000000"/>
        </w:rPr>
        <w:t>30</w:t>
      </w:r>
      <w:r>
        <w:rPr>
          <w:rFonts w:ascii="Times New Roman" w:eastAsia="Times New Roman" w:hAnsi="Times New Roman" w:cs="Times New Roman"/>
          <w:color w:val="000000"/>
        </w:rPr>
        <w:t xml:space="preserve"> de </w:t>
      </w:r>
      <w:r w:rsidR="003E2530">
        <w:rPr>
          <w:rFonts w:ascii="Times New Roman" w:eastAsia="Times New Roman" w:hAnsi="Times New Roman" w:cs="Times New Roman"/>
          <w:color w:val="000000"/>
        </w:rPr>
        <w:t>a</w:t>
      </w:r>
      <w:r w:rsidR="00A128A1">
        <w:rPr>
          <w:rFonts w:ascii="Times New Roman" w:eastAsia="Times New Roman" w:hAnsi="Times New Roman" w:cs="Times New Roman"/>
          <w:color w:val="000000"/>
        </w:rPr>
        <w:t>bril</w:t>
      </w:r>
      <w:r>
        <w:rPr>
          <w:rFonts w:ascii="Times New Roman" w:eastAsia="Times New Roman" w:hAnsi="Times New Roman" w:cs="Times New Roman"/>
          <w:color w:val="000000"/>
        </w:rPr>
        <w:t xml:space="preserve"> de 202</w:t>
      </w:r>
      <w:r w:rsidR="00A128A1">
        <w:rPr>
          <w:rFonts w:ascii="Times New Roman" w:eastAsia="Times New Roman" w:hAnsi="Times New Roman" w:cs="Times New Roman"/>
          <w:color w:val="000000"/>
        </w:rPr>
        <w:t>5</w:t>
      </w:r>
      <w:r>
        <w:rPr>
          <w:rFonts w:ascii="Times New Roman" w:eastAsia="Times New Roman" w:hAnsi="Times New Roman" w:cs="Times New Roman"/>
          <w:color w:val="000000"/>
        </w:rPr>
        <w:t>.</w:t>
      </w:r>
    </w:p>
    <w:p w:rsidR="00181559" w:rsidRDefault="00181559">
      <w:pPr>
        <w:pBdr>
          <w:top w:val="nil"/>
          <w:left w:val="nil"/>
          <w:bottom w:val="nil"/>
          <w:right w:val="nil"/>
          <w:between w:val="nil"/>
        </w:pBdr>
        <w:rPr>
          <w:rFonts w:ascii="Times New Roman" w:eastAsia="Times New Roman" w:hAnsi="Times New Roman" w:cs="Times New Roman"/>
          <w:color w:val="000000"/>
        </w:rPr>
      </w:pPr>
    </w:p>
    <w:p w:rsidR="00A128A1" w:rsidRDefault="00A128A1">
      <w:pPr>
        <w:pBdr>
          <w:top w:val="nil"/>
          <w:left w:val="nil"/>
          <w:bottom w:val="nil"/>
          <w:right w:val="nil"/>
          <w:between w:val="nil"/>
        </w:pBdr>
        <w:rPr>
          <w:rFonts w:ascii="Times New Roman" w:eastAsia="Times New Roman" w:hAnsi="Times New Roman" w:cs="Times New Roman"/>
          <w:color w:val="000000"/>
        </w:rPr>
      </w:pPr>
    </w:p>
    <w:p w:rsidR="00181559" w:rsidRDefault="00181559">
      <w:pPr>
        <w:pBdr>
          <w:top w:val="nil"/>
          <w:left w:val="nil"/>
          <w:bottom w:val="nil"/>
          <w:right w:val="nil"/>
          <w:between w:val="nil"/>
        </w:pBdr>
        <w:ind w:left="720"/>
        <w:jc w:val="center"/>
        <w:rPr>
          <w:rFonts w:ascii="Times New Roman" w:eastAsia="Times New Roman" w:hAnsi="Times New Roman" w:cs="Times New Roman"/>
          <w:color w:val="000000"/>
        </w:rPr>
      </w:pPr>
    </w:p>
    <w:p w:rsidR="00181559" w:rsidRDefault="00181559">
      <w:pPr>
        <w:pBdr>
          <w:top w:val="nil"/>
          <w:left w:val="nil"/>
          <w:bottom w:val="nil"/>
          <w:right w:val="nil"/>
          <w:between w:val="nil"/>
        </w:pBdr>
        <w:ind w:left="720"/>
        <w:jc w:val="center"/>
        <w:rPr>
          <w:rFonts w:ascii="Times New Roman" w:eastAsia="Times New Roman" w:hAnsi="Times New Roman" w:cs="Times New Roman"/>
          <w:color w:val="000000"/>
        </w:rPr>
      </w:pPr>
    </w:p>
    <w:p w:rsidR="00A128A1" w:rsidRPr="00E61265" w:rsidRDefault="00A128A1" w:rsidP="00A128A1">
      <w:pPr>
        <w:pStyle w:val="Subttulo0"/>
        <w:rPr>
          <w:szCs w:val="24"/>
        </w:rPr>
      </w:pPr>
      <w:r w:rsidRPr="00E61265">
        <w:t xml:space="preserve">FLÁVIA NETO PINHEIRO </w:t>
      </w:r>
      <w:r w:rsidRPr="00E61265">
        <w:rPr>
          <w:color w:val="000000"/>
        </w:rPr>
        <w:t xml:space="preserve">– </w:t>
      </w:r>
      <w:proofErr w:type="spellStart"/>
      <w:r w:rsidRPr="00E61265">
        <w:t>Asp</w:t>
      </w:r>
      <w:proofErr w:type="spellEnd"/>
      <w:r w:rsidRPr="00E61265">
        <w:t xml:space="preserve"> </w:t>
      </w:r>
      <w:proofErr w:type="spellStart"/>
      <w:r w:rsidRPr="00E61265">
        <w:t>Of</w:t>
      </w:r>
      <w:proofErr w:type="spellEnd"/>
    </w:p>
    <w:p w:rsidR="00A128A1" w:rsidRPr="0077324A" w:rsidRDefault="00A128A1" w:rsidP="00A128A1">
      <w:pPr>
        <w:pStyle w:val="Subttulo0"/>
        <w:rPr>
          <w:b w:val="0"/>
          <w:bCs/>
          <w:szCs w:val="24"/>
        </w:rPr>
      </w:pPr>
      <w:r>
        <w:rPr>
          <w:b w:val="0"/>
          <w:bCs/>
          <w:szCs w:val="24"/>
        </w:rPr>
        <w:t>Chefe</w:t>
      </w:r>
      <w:r w:rsidRPr="0077324A">
        <w:rPr>
          <w:b w:val="0"/>
          <w:bCs/>
          <w:szCs w:val="24"/>
        </w:rPr>
        <w:t xml:space="preserve"> da Equipe de Planejamento da Contratação</w:t>
      </w:r>
    </w:p>
    <w:p w:rsidR="00A128A1" w:rsidRDefault="00A128A1" w:rsidP="00A128A1">
      <w:pPr>
        <w:jc w:val="center"/>
      </w:pPr>
    </w:p>
    <w:p w:rsidR="00A128A1" w:rsidRDefault="00A128A1" w:rsidP="00A128A1">
      <w:pPr>
        <w:jc w:val="center"/>
      </w:pPr>
    </w:p>
    <w:p w:rsidR="00A128A1" w:rsidRPr="0077324A" w:rsidRDefault="00A128A1" w:rsidP="00A128A1">
      <w:pPr>
        <w:jc w:val="center"/>
      </w:pPr>
    </w:p>
    <w:p w:rsidR="00A128A1" w:rsidRPr="0077324A" w:rsidRDefault="00A128A1" w:rsidP="00A128A1">
      <w:pPr>
        <w:jc w:val="center"/>
      </w:pPr>
    </w:p>
    <w:p w:rsidR="00A128A1" w:rsidRPr="0077324A" w:rsidRDefault="00A128A1" w:rsidP="00A128A1">
      <w:pPr>
        <w:pStyle w:val="Subttulo0"/>
        <w:rPr>
          <w:szCs w:val="24"/>
        </w:rPr>
      </w:pPr>
      <w:r>
        <w:rPr>
          <w:color w:val="000000"/>
        </w:rPr>
        <w:t>THAÍSSA CRISTINA DE OLIVEIRA</w:t>
      </w:r>
      <w:r w:rsidRPr="006D40DB">
        <w:rPr>
          <w:color w:val="000000"/>
        </w:rPr>
        <w:t xml:space="preserve"> – </w:t>
      </w:r>
      <w:r>
        <w:rPr>
          <w:color w:val="000000"/>
        </w:rPr>
        <w:t>3º Sgt</w:t>
      </w:r>
    </w:p>
    <w:p w:rsidR="00A128A1" w:rsidRPr="0077324A" w:rsidRDefault="00A128A1" w:rsidP="00A128A1">
      <w:pPr>
        <w:jc w:val="center"/>
      </w:pPr>
      <w:r w:rsidRPr="0077324A">
        <w:rPr>
          <w:bCs/>
        </w:rPr>
        <w:t>Membro da Equipe de Planejamento da Contratação</w:t>
      </w:r>
    </w:p>
    <w:p w:rsidR="00181559" w:rsidRDefault="00181559" w:rsidP="00A128A1">
      <w:pPr>
        <w:spacing w:after="360"/>
        <w:ind w:left="57"/>
        <w:jc w:val="center"/>
        <w:rPr>
          <w:rFonts w:ascii="Times New Roman" w:eastAsia="Times New Roman" w:hAnsi="Times New Roman" w:cs="Times New Roman"/>
          <w:b/>
        </w:rPr>
      </w:pPr>
    </w:p>
    <w:p w:rsidR="00181559" w:rsidRDefault="00181559" w:rsidP="00A128A1">
      <w:pPr>
        <w:pBdr>
          <w:top w:val="nil"/>
          <w:left w:val="nil"/>
          <w:bottom w:val="nil"/>
          <w:right w:val="nil"/>
          <w:between w:val="nil"/>
        </w:pBdr>
        <w:spacing w:after="360"/>
        <w:jc w:val="center"/>
        <w:rPr>
          <w:rFonts w:ascii="Times New Roman" w:eastAsia="Times New Roman" w:hAnsi="Times New Roman" w:cs="Times New Roman"/>
        </w:rPr>
      </w:pPr>
    </w:p>
    <w:p w:rsidR="00181559" w:rsidRDefault="00A128A1" w:rsidP="00A128A1">
      <w:pPr>
        <w:jc w:val="center"/>
        <w:rPr>
          <w:rFonts w:ascii="Times New Roman" w:eastAsia="Times New Roman" w:hAnsi="Times New Roman" w:cs="Times New Roman"/>
          <w:b/>
          <w:color w:val="000000"/>
        </w:rPr>
      </w:pPr>
      <w:r>
        <w:rPr>
          <w:rFonts w:ascii="Times New Roman" w:eastAsia="Times New Roman" w:hAnsi="Times New Roman" w:cs="Times New Roman"/>
          <w:b/>
        </w:rPr>
        <w:t>FAUSTO CALADO DE CARVALHO</w:t>
      </w:r>
      <w:r w:rsidR="00C94481">
        <w:rPr>
          <w:rFonts w:ascii="Times New Roman" w:eastAsia="Times New Roman" w:hAnsi="Times New Roman" w:cs="Times New Roman"/>
          <w:b/>
          <w:color w:val="000000"/>
        </w:rPr>
        <w:t xml:space="preserve"> – </w:t>
      </w:r>
      <w:r>
        <w:rPr>
          <w:rFonts w:ascii="Times New Roman" w:eastAsia="Times New Roman" w:hAnsi="Times New Roman" w:cs="Times New Roman"/>
          <w:b/>
          <w:color w:val="000000"/>
        </w:rPr>
        <w:t>Tenente-Coronel</w:t>
      </w:r>
    </w:p>
    <w:p w:rsidR="00181559" w:rsidRDefault="00C94481" w:rsidP="00A128A1">
      <w:pPr>
        <w:jc w:val="center"/>
        <w:rPr>
          <w:rFonts w:ascii="Times New Roman" w:eastAsia="Times New Roman" w:hAnsi="Times New Roman" w:cs="Times New Roman"/>
        </w:rPr>
      </w:pPr>
      <w:r>
        <w:rPr>
          <w:rFonts w:ascii="Times New Roman" w:eastAsia="Times New Roman" w:hAnsi="Times New Roman" w:cs="Times New Roman"/>
          <w:color w:val="000000"/>
        </w:rPr>
        <w:t xml:space="preserve">Ordenador de Despesas do </w:t>
      </w:r>
      <w:r>
        <w:rPr>
          <w:rFonts w:ascii="Times New Roman" w:eastAsia="Times New Roman" w:hAnsi="Times New Roman" w:cs="Times New Roman"/>
        </w:rPr>
        <w:t>41° B</w:t>
      </w:r>
      <w:r w:rsidR="00A128A1">
        <w:rPr>
          <w:rFonts w:ascii="Times New Roman" w:eastAsia="Times New Roman" w:hAnsi="Times New Roman" w:cs="Times New Roman"/>
        </w:rPr>
        <w:t>atalhão de Inf</w:t>
      </w:r>
      <w:bookmarkStart w:id="5" w:name="_GoBack"/>
      <w:bookmarkEnd w:id="5"/>
      <w:r w:rsidR="00A128A1">
        <w:rPr>
          <w:rFonts w:ascii="Times New Roman" w:eastAsia="Times New Roman" w:hAnsi="Times New Roman" w:cs="Times New Roman"/>
        </w:rPr>
        <w:t>antaria Mecanizado</w:t>
      </w:r>
    </w:p>
    <w:sectPr w:rsidR="00181559">
      <w:headerReference w:type="default" r:id="rId38"/>
      <w:footerReference w:type="default" r:id="rId39"/>
      <w:pgSz w:w="11906" w:h="16838"/>
      <w:pgMar w:top="1418" w:right="1134" w:bottom="1418"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A14" w:rsidRDefault="00FB5A14">
      <w:r>
        <w:separator/>
      </w:r>
    </w:p>
  </w:endnote>
  <w:endnote w:type="continuationSeparator" w:id="0">
    <w:p w:rsidR="00FB5A14" w:rsidRDefault="00FB5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Rawline">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689" w:rsidRDefault="00747689">
    <w:pPr>
      <w:pBdr>
        <w:top w:val="nil"/>
        <w:left w:val="nil"/>
        <w:bottom w:val="nil"/>
        <w:right w:val="nil"/>
        <w:between w:val="nil"/>
      </w:pBdr>
      <w:tabs>
        <w:tab w:val="center" w:pos="4252"/>
        <w:tab w:val="right" w:pos="8504"/>
      </w:tabs>
      <w:rPr>
        <w:rFonts w:cs="Ecofont_Spranq_eco_Sans"/>
        <w:color w:val="548DD4"/>
        <w:sz w:val="16"/>
        <w:szCs w:val="16"/>
      </w:rPr>
    </w:pPr>
    <w:r>
      <w:rPr>
        <w:rFonts w:cs="Ecofont_Spranq_eco_Sans"/>
        <w:color w:val="548DD4"/>
        <w:sz w:val="22"/>
        <w:szCs w:val="22"/>
      </w:rPr>
      <w:tab/>
    </w:r>
    <w:r>
      <w:rPr>
        <w:rFonts w:cs="Ecofont_Spranq_eco_Sans"/>
        <w:color w:val="548DD4"/>
        <w:sz w:val="22"/>
        <w:szCs w:val="22"/>
      </w:rPr>
      <w:tab/>
    </w:r>
  </w:p>
  <w:p w:rsidR="00747689" w:rsidRDefault="00747689">
    <w:pPr>
      <w:pBdr>
        <w:top w:val="nil"/>
        <w:left w:val="nil"/>
        <w:bottom w:val="nil"/>
        <w:right w:val="nil"/>
        <w:between w:val="nil"/>
      </w:pBdr>
      <w:tabs>
        <w:tab w:val="center" w:pos="4252"/>
        <w:tab w:val="right" w:pos="8504"/>
      </w:tabs>
      <w:rPr>
        <w:rFonts w:ascii="Arial" w:eastAsia="Arial" w:hAnsi="Arial" w:cs="Arial"/>
        <w:color w:val="7F7F7F"/>
        <w:sz w:val="12"/>
        <w:szCs w:val="12"/>
      </w:rPr>
    </w:pPr>
    <w:r>
      <w:rPr>
        <w:rFonts w:cs="Ecofont_Spranq_eco_Sans"/>
        <w:color w:val="7F7F7F"/>
        <w:sz w:val="22"/>
        <w:szCs w:val="22"/>
      </w:rPr>
      <w:tab/>
    </w:r>
    <w:r>
      <w:rPr>
        <w:rFonts w:cs="Ecofont_Spranq_eco_Sans"/>
        <w:color w:val="7F7F7F"/>
        <w:sz w:val="22"/>
        <w:szCs w:val="22"/>
      </w:rPr>
      <w:tab/>
    </w:r>
    <w:r>
      <w:rPr>
        <w:rFonts w:cs="Ecofont_Spranq_eco_Sans"/>
        <w:color w:val="595959"/>
        <w:sz w:val="22"/>
        <w:szCs w:val="22"/>
      </w:rPr>
      <w:t xml:space="preserve">Página </w:t>
    </w:r>
    <w:r>
      <w:rPr>
        <w:rFonts w:cs="Ecofont_Spranq_eco_Sans"/>
        <w:color w:val="595959"/>
        <w:sz w:val="22"/>
        <w:szCs w:val="22"/>
        <w:shd w:val="clear" w:color="auto" w:fill="E6E6E6"/>
      </w:rPr>
      <w:fldChar w:fldCharType="begin"/>
    </w:r>
    <w:r>
      <w:rPr>
        <w:rFonts w:cs="Ecofont_Spranq_eco_Sans"/>
        <w:color w:val="595959"/>
        <w:sz w:val="22"/>
        <w:szCs w:val="22"/>
        <w:shd w:val="clear" w:color="auto" w:fill="E6E6E6"/>
      </w:rPr>
      <w:instrText>PAGE</w:instrText>
    </w:r>
    <w:r>
      <w:rPr>
        <w:rFonts w:cs="Ecofont_Spranq_eco_Sans"/>
        <w:color w:val="595959"/>
        <w:sz w:val="22"/>
        <w:szCs w:val="22"/>
        <w:shd w:val="clear" w:color="auto" w:fill="E6E6E6"/>
      </w:rPr>
      <w:fldChar w:fldCharType="separate"/>
    </w:r>
    <w:r w:rsidR="00CD6D8A">
      <w:rPr>
        <w:rFonts w:cs="Ecofont_Spranq_eco_Sans"/>
        <w:noProof/>
        <w:color w:val="595959"/>
        <w:sz w:val="22"/>
        <w:szCs w:val="22"/>
        <w:shd w:val="clear" w:color="auto" w:fill="E6E6E6"/>
      </w:rPr>
      <w:t>32</w:t>
    </w:r>
    <w:r>
      <w:rPr>
        <w:rFonts w:cs="Ecofont_Spranq_eco_Sans"/>
        <w:color w:val="595959"/>
        <w:sz w:val="22"/>
        <w:szCs w:val="22"/>
        <w:shd w:val="clear" w:color="auto" w:fill="E6E6E6"/>
      </w:rPr>
      <w:fldChar w:fldCharType="end"/>
    </w:r>
    <w:r>
      <w:rPr>
        <w:rFonts w:cs="Ecofont_Spranq_eco_Sans"/>
        <w:color w:val="595959"/>
        <w:sz w:val="22"/>
        <w:szCs w:val="22"/>
      </w:rPr>
      <w:t xml:space="preserve"> | </w:t>
    </w:r>
    <w:r>
      <w:rPr>
        <w:rFonts w:cs="Ecofont_Spranq_eco_Sans"/>
        <w:color w:val="595959"/>
        <w:sz w:val="22"/>
        <w:szCs w:val="22"/>
        <w:shd w:val="clear" w:color="auto" w:fill="E6E6E6"/>
      </w:rPr>
      <w:fldChar w:fldCharType="begin"/>
    </w:r>
    <w:r>
      <w:rPr>
        <w:rFonts w:cs="Ecofont_Spranq_eco_Sans"/>
        <w:color w:val="595959"/>
        <w:sz w:val="22"/>
        <w:szCs w:val="22"/>
        <w:shd w:val="clear" w:color="auto" w:fill="E6E6E6"/>
      </w:rPr>
      <w:instrText>NUMPAGES</w:instrText>
    </w:r>
    <w:r>
      <w:rPr>
        <w:rFonts w:cs="Ecofont_Spranq_eco_Sans"/>
        <w:color w:val="595959"/>
        <w:sz w:val="22"/>
        <w:szCs w:val="22"/>
        <w:shd w:val="clear" w:color="auto" w:fill="E6E6E6"/>
      </w:rPr>
      <w:fldChar w:fldCharType="separate"/>
    </w:r>
    <w:r w:rsidR="00CD6D8A">
      <w:rPr>
        <w:rFonts w:cs="Ecofont_Spranq_eco_Sans"/>
        <w:noProof/>
        <w:color w:val="595959"/>
        <w:sz w:val="22"/>
        <w:szCs w:val="22"/>
        <w:shd w:val="clear" w:color="auto" w:fill="E6E6E6"/>
      </w:rPr>
      <w:t>32</w:t>
    </w:r>
    <w:r>
      <w:rPr>
        <w:rFonts w:cs="Ecofont_Spranq_eco_Sans"/>
        <w:color w:val="595959"/>
        <w:sz w:val="22"/>
        <w:szCs w:val="22"/>
        <w:shd w:val="clear" w:color="auto" w:fill="E6E6E6"/>
      </w:rPr>
      <w:fldChar w:fldCharType="end"/>
    </w:r>
  </w:p>
  <w:p w:rsidR="00747689" w:rsidRDefault="00747689">
    <w:pPr>
      <w:pBdr>
        <w:top w:val="nil"/>
        <w:left w:val="nil"/>
        <w:bottom w:val="nil"/>
        <w:right w:val="nil"/>
        <w:between w:val="nil"/>
      </w:pBdr>
      <w:tabs>
        <w:tab w:val="center" w:pos="4252"/>
        <w:tab w:val="right" w:pos="8504"/>
      </w:tabs>
      <w:rPr>
        <w:rFonts w:ascii="Rawline" w:eastAsia="Rawline" w:hAnsi="Rawline" w:cs="Rawline"/>
        <w:color w:val="000000"/>
        <w:sz w:val="12"/>
        <w:szCs w:val="12"/>
      </w:rPr>
    </w:pPr>
    <w:r>
      <w:rPr>
        <w:rFonts w:ascii="Rawline" w:eastAsia="Rawline" w:hAnsi="Rawline" w:cs="Rawline"/>
        <w:color w:val="000000"/>
        <w:sz w:val="12"/>
        <w:szCs w:val="12"/>
      </w:rPr>
      <w:t>Câmara Nacional de Modelos de Licitações e Contratos da Consultoria-Geral da União</w:t>
    </w:r>
  </w:p>
  <w:p w:rsidR="00747689" w:rsidRDefault="00747689">
    <w:pPr>
      <w:pBdr>
        <w:top w:val="nil"/>
        <w:left w:val="nil"/>
        <w:bottom w:val="nil"/>
        <w:right w:val="nil"/>
        <w:between w:val="nil"/>
      </w:pBdr>
      <w:tabs>
        <w:tab w:val="center" w:pos="4252"/>
        <w:tab w:val="right" w:pos="8504"/>
      </w:tabs>
      <w:rPr>
        <w:rFonts w:ascii="Rawline" w:eastAsia="Rawline" w:hAnsi="Rawline" w:cs="Rawline"/>
        <w:color w:val="000000"/>
        <w:sz w:val="12"/>
        <w:szCs w:val="12"/>
      </w:rPr>
    </w:pPr>
    <w:r>
      <w:rPr>
        <w:rFonts w:ascii="Rawline" w:eastAsia="Rawline" w:hAnsi="Rawline" w:cs="Rawline"/>
        <w:color w:val="000000"/>
        <w:sz w:val="12"/>
        <w:szCs w:val="12"/>
      </w:rPr>
      <w:t>Atualização: dezembro/2023</w:t>
    </w:r>
  </w:p>
  <w:p w:rsidR="00747689" w:rsidRDefault="00747689">
    <w:pPr>
      <w:pBdr>
        <w:top w:val="nil"/>
        <w:left w:val="nil"/>
        <w:bottom w:val="nil"/>
        <w:right w:val="nil"/>
        <w:between w:val="nil"/>
      </w:pBdr>
      <w:tabs>
        <w:tab w:val="center" w:pos="4252"/>
        <w:tab w:val="right" w:pos="8504"/>
      </w:tabs>
      <w:rPr>
        <w:rFonts w:ascii="Rawline" w:eastAsia="Rawline" w:hAnsi="Rawline" w:cs="Rawline"/>
        <w:color w:val="0F243E"/>
        <w:sz w:val="22"/>
        <w:szCs w:val="22"/>
      </w:rPr>
    </w:pPr>
    <w:r>
      <w:rPr>
        <w:rFonts w:ascii="Rawline" w:eastAsia="Rawline" w:hAnsi="Rawline" w:cs="Rawline"/>
        <w:color w:val="000000"/>
        <w:sz w:val="12"/>
        <w:szCs w:val="12"/>
      </w:rPr>
      <w:t>Termo de Referência Aquisições – Licitação - Modelo para Pregão Eletrônico</w:t>
    </w:r>
    <w:r>
      <w:rPr>
        <w:rFonts w:ascii="Rawline" w:eastAsia="Rawline" w:hAnsi="Rawline" w:cs="Rawline"/>
        <w:color w:val="000000"/>
        <w:sz w:val="12"/>
        <w:szCs w:val="12"/>
      </w:rPr>
      <w:tab/>
    </w:r>
    <w:r>
      <w:rPr>
        <w:rFonts w:ascii="Rawline" w:eastAsia="Rawline" w:hAnsi="Rawline" w:cs="Rawline"/>
        <w:color w:val="000000"/>
        <w:sz w:val="12"/>
        <w:szCs w:val="12"/>
      </w:rPr>
      <w:tab/>
    </w:r>
  </w:p>
  <w:p w:rsidR="00747689" w:rsidRDefault="00747689">
    <w:pPr>
      <w:pBdr>
        <w:top w:val="nil"/>
        <w:left w:val="nil"/>
        <w:bottom w:val="nil"/>
        <w:right w:val="nil"/>
        <w:between w:val="nil"/>
      </w:pBdr>
      <w:tabs>
        <w:tab w:val="center" w:pos="4252"/>
        <w:tab w:val="right" w:pos="8504"/>
      </w:tabs>
      <w:rPr>
        <w:rFonts w:ascii="Rawline" w:eastAsia="Rawline" w:hAnsi="Rawline" w:cs="Rawline"/>
        <w:color w:val="000000"/>
        <w:sz w:val="12"/>
        <w:szCs w:val="12"/>
      </w:rPr>
    </w:pPr>
    <w:r>
      <w:rPr>
        <w:rFonts w:ascii="Rawline" w:eastAsia="Rawline" w:hAnsi="Rawline" w:cs="Rawline"/>
        <w:color w:val="000000"/>
        <w:sz w:val="12"/>
        <w:szCs w:val="12"/>
      </w:rPr>
      <w:t>Aprovado pela Secretaria de Gestão.</w:t>
    </w:r>
  </w:p>
  <w:p w:rsidR="00747689" w:rsidRDefault="00747689">
    <w:pPr>
      <w:pBdr>
        <w:top w:val="nil"/>
        <w:left w:val="nil"/>
        <w:bottom w:val="nil"/>
        <w:right w:val="nil"/>
        <w:between w:val="nil"/>
      </w:pBdr>
      <w:tabs>
        <w:tab w:val="center" w:pos="4252"/>
        <w:tab w:val="right" w:pos="8504"/>
      </w:tabs>
      <w:rPr>
        <w:rFonts w:ascii="Rawline" w:eastAsia="Rawline" w:hAnsi="Rawline" w:cs="Rawline"/>
        <w:color w:val="000000"/>
      </w:rPr>
    </w:pPr>
    <w:r>
      <w:rPr>
        <w:rFonts w:ascii="Rawline" w:eastAsia="Rawline" w:hAnsi="Rawline" w:cs="Rawline"/>
        <w:color w:val="000000"/>
        <w:sz w:val="12"/>
        <w:szCs w:val="12"/>
      </w:rPr>
      <w:t>Identidade visual pela Secretaria de Gestão (versão dezembro/2022)</w:t>
    </w:r>
  </w:p>
  <w:p w:rsidR="00747689" w:rsidRDefault="00747689">
    <w:pPr>
      <w:pBdr>
        <w:top w:val="nil"/>
        <w:left w:val="nil"/>
        <w:bottom w:val="nil"/>
        <w:right w:val="nil"/>
        <w:between w:val="nil"/>
      </w:pBdr>
      <w:tabs>
        <w:tab w:val="center" w:pos="4252"/>
        <w:tab w:val="right" w:pos="8504"/>
      </w:tabs>
      <w:rPr>
        <w:rFonts w:cs="Ecofont_Spranq_eco_Sans"/>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A14" w:rsidRDefault="00FB5A14">
      <w:r>
        <w:separator/>
      </w:r>
    </w:p>
  </w:footnote>
  <w:footnote w:type="continuationSeparator" w:id="0">
    <w:p w:rsidR="00FB5A14" w:rsidRDefault="00FB5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689" w:rsidRDefault="00747689">
    <w:pPr>
      <w:pBdr>
        <w:top w:val="nil"/>
        <w:left w:val="nil"/>
        <w:bottom w:val="nil"/>
        <w:right w:val="nil"/>
        <w:between w:val="nil"/>
      </w:pBdr>
      <w:tabs>
        <w:tab w:val="center" w:pos="4252"/>
        <w:tab w:val="right" w:pos="8504"/>
      </w:tabs>
      <w:jc w:val="center"/>
      <w:rPr>
        <w:rFonts w:ascii="Arial" w:eastAsia="Arial" w:hAnsi="Arial" w:cs="Arial"/>
        <w:color w:val="000000"/>
        <w:sz w:val="20"/>
        <w:szCs w:val="20"/>
      </w:rPr>
    </w:pPr>
  </w:p>
  <w:p w:rsidR="00747689" w:rsidRDefault="00747689">
    <w:pPr>
      <w:pBdr>
        <w:top w:val="nil"/>
        <w:left w:val="nil"/>
        <w:bottom w:val="nil"/>
        <w:right w:val="nil"/>
        <w:between w:val="nil"/>
      </w:pBdr>
      <w:tabs>
        <w:tab w:val="center" w:pos="4252"/>
        <w:tab w:val="right" w:pos="8504"/>
      </w:tabs>
      <w:jc w:val="right"/>
      <w:rPr>
        <w:rFonts w:cs="Ecofont_Spranq_eco_Sans"/>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27E0F"/>
    <w:multiLevelType w:val="multilevel"/>
    <w:tmpl w:val="D73E1586"/>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36477EA2"/>
    <w:multiLevelType w:val="multilevel"/>
    <w:tmpl w:val="B858BCC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1781" w:hanging="504"/>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0FD5961"/>
    <w:multiLevelType w:val="multilevel"/>
    <w:tmpl w:val="B1243CF6"/>
    <w:lvl w:ilvl="0">
      <w:start w:val="1"/>
      <w:numFmt w:val="decimal"/>
      <w:lvlText w:val="%1."/>
      <w:lvlJc w:val="left"/>
      <w:pPr>
        <w:ind w:left="360" w:hanging="360"/>
      </w:pPr>
      <w:rPr>
        <w:b/>
      </w:rPr>
    </w:lvl>
    <w:lvl w:ilvl="1">
      <w:start w:val="1"/>
      <w:numFmt w:val="decimal"/>
      <w:lvlText w:val="%1.%2."/>
      <w:lvlJc w:val="left"/>
      <w:pPr>
        <w:ind w:left="999" w:hanging="432"/>
      </w:pPr>
      <w:rPr>
        <w:rFonts w:ascii="Times New Roman" w:hAnsi="Times New Roman" w:cs="Times New Roman" w:hint="default"/>
        <w:b w:val="0"/>
        <w:i w:val="0"/>
        <w:strike w:val="0"/>
        <w:color w:val="000000"/>
        <w:sz w:val="24"/>
        <w:szCs w:val="24"/>
        <w:u w:val="none"/>
      </w:rPr>
    </w:lvl>
    <w:lvl w:ilvl="2">
      <w:start w:val="1"/>
      <w:numFmt w:val="decimal"/>
      <w:lvlText w:val="%1.%2.%3."/>
      <w:lvlJc w:val="left"/>
      <w:pPr>
        <w:ind w:left="1781" w:hanging="504"/>
      </w:pPr>
      <w:rPr>
        <w:rFonts w:ascii="Times New Roman" w:eastAsia="Arial" w:hAnsi="Times New Roman" w:cs="Times New Roman" w:hint="default"/>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07F7AE7"/>
    <w:multiLevelType w:val="multilevel"/>
    <w:tmpl w:val="7BA295E6"/>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num w:numId="1">
    <w:abstractNumId w:val="1"/>
  </w:num>
  <w:num w:numId="2">
    <w:abstractNumId w:val="2"/>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559"/>
    <w:rsid w:val="00181559"/>
    <w:rsid w:val="002B706B"/>
    <w:rsid w:val="003E2530"/>
    <w:rsid w:val="004973D6"/>
    <w:rsid w:val="00503F24"/>
    <w:rsid w:val="00546612"/>
    <w:rsid w:val="00737D09"/>
    <w:rsid w:val="00747689"/>
    <w:rsid w:val="00831523"/>
    <w:rsid w:val="008363B8"/>
    <w:rsid w:val="00855E96"/>
    <w:rsid w:val="00944FA7"/>
    <w:rsid w:val="00A128A1"/>
    <w:rsid w:val="00BD2692"/>
    <w:rsid w:val="00C43E9C"/>
    <w:rsid w:val="00C94481"/>
    <w:rsid w:val="00CD6D8A"/>
    <w:rsid w:val="00CE0CFF"/>
    <w:rsid w:val="00F2797B"/>
    <w:rsid w:val="00FB5A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E2A90D-C75E-42D4-8047-126F2A2EC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cs="Tahoma"/>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customStyle="1" w:styleId="TableNormal0">
    <w:name w:val="Table Normal"/>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4"/>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tabs>
        <w:tab w:val="left" w:pos="567"/>
        <w:tab w:val="num" w:pos="720"/>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20"/>
      <w:szCs w:val="20"/>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84242C"/>
    <w:pPr>
      <w:numPr>
        <w:ilvl w:val="1"/>
        <w:numId w:val="12"/>
      </w:numPr>
      <w:spacing w:before="120" w:after="120" w:line="276" w:lineRule="auto"/>
      <w:ind w:left="0" w:firstLine="0"/>
      <w:jc w:val="both"/>
    </w:pPr>
    <w:rPr>
      <w:rFonts w:ascii="Arial" w:eastAsia="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1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84242C"/>
    <w:rPr>
      <w:rFonts w:ascii="Arial" w:eastAsia="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C65DDF"/>
    <w:rPr>
      <w:iCs/>
      <w:color w:val="auto"/>
      <w:shd w:val="clear" w:color="auto" w:fill="FFFFFF"/>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C65DDF"/>
    <w:rPr>
      <w:rFonts w:ascii="Arial" w:hAnsi="Arial" w:cs="Arial"/>
      <w:iCs/>
      <w:color w:val="000000"/>
      <w:lang w:eastAsia="pt-BR"/>
    </w:rPr>
  </w:style>
  <w:style w:type="paragraph" w:customStyle="1" w:styleId="Nvel1-SemNum">
    <w:name w:val="Nível 1-Sem Num"/>
    <w:basedOn w:val="Nivel01"/>
    <w:link w:val="Nvel1-SemNumChar"/>
    <w:autoRedefine/>
    <w:qFormat/>
    <w:rsid w:val="00632B23"/>
    <w:pPr>
      <w:tabs>
        <w:tab w:val="clear" w:pos="720"/>
      </w:tabs>
      <w:outlineLvl w:val="1"/>
    </w:p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632B23"/>
    <w:rPr>
      <w:rFonts w:ascii="Arial" w:eastAsiaTheme="majorEastAsia" w:hAnsi="Arial" w:cs="Arial"/>
      <w:b/>
      <w:bCs/>
      <w:color w:val="17365D" w:themeColor="text2" w:themeShade="BF"/>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ilvl w:val="0"/>
        <w:numId w:val="0"/>
      </w:numPr>
      <w:tabs>
        <w:tab w:val="num" w:pos="2160"/>
      </w:tabs>
      <w:spacing w:line="240" w:lineRule="auto"/>
      <w:ind w:left="425"/>
    </w:pPr>
    <w:rPr>
      <w:rFonts w:cs="Tahoma"/>
      <w:color w:val="auto"/>
      <w:szCs w:val="24"/>
    </w:rPr>
  </w:style>
  <w:style w:type="character" w:customStyle="1" w:styleId="Nivel3-erroChar">
    <w:name w:val="Nivel 3-erro Char"/>
    <w:basedOn w:val="Fontepargpadro"/>
    <w:link w:val="Nivel3-erro"/>
    <w:rsid w:val="005B0AFB"/>
    <w:rPr>
      <w:rFonts w:ascii="Arial" w:hAnsi="Arial" w:cs="Tahoma"/>
      <w:sz w:val="20"/>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paragraph" w:customStyle="1" w:styleId="Padro0">
    <w:name w:val="Padrão"/>
    <w:rsid w:val="00EB63CE"/>
    <w:pPr>
      <w:tabs>
        <w:tab w:val="left" w:pos="708"/>
      </w:tabs>
      <w:suppressAutoHyphens/>
      <w:spacing w:line="100" w:lineRule="atLeast"/>
    </w:pPr>
    <w:rPr>
      <w:rFonts w:eastAsia="Times New Roman"/>
    </w:rPr>
  </w:style>
  <w:style w:type="paragraph" w:customStyle="1" w:styleId="msonormal0">
    <w:name w:val="msonormal"/>
    <w:basedOn w:val="Normal"/>
    <w:rsid w:val="000F4D94"/>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0F4D94"/>
    <w:pPr>
      <w:spacing w:before="100" w:beforeAutospacing="1" w:after="100" w:afterAutospacing="1"/>
    </w:pPr>
    <w:rPr>
      <w:rFonts w:ascii="Arial" w:eastAsia="Times New Roman" w:hAnsi="Arial" w:cs="Arial"/>
    </w:rPr>
  </w:style>
  <w:style w:type="paragraph" w:customStyle="1" w:styleId="xl66">
    <w:name w:val="xl66"/>
    <w:basedOn w:val="Normal"/>
    <w:rsid w:val="000F4D94"/>
    <w:pPr>
      <w:spacing w:before="100" w:beforeAutospacing="1" w:after="100" w:afterAutospacing="1"/>
    </w:pPr>
    <w:rPr>
      <w:rFonts w:ascii="Arial" w:eastAsia="Times New Roman" w:hAnsi="Arial" w:cs="Arial"/>
    </w:rPr>
  </w:style>
  <w:style w:type="paragraph" w:customStyle="1" w:styleId="xl67">
    <w:name w:val="xl67"/>
    <w:basedOn w:val="Normal"/>
    <w:rsid w:val="000F4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68">
    <w:name w:val="xl68"/>
    <w:basedOn w:val="Normal"/>
    <w:rsid w:val="000F4D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69">
    <w:name w:val="xl69"/>
    <w:basedOn w:val="Normal"/>
    <w:rsid w:val="000F4D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rPr>
  </w:style>
  <w:style w:type="paragraph" w:customStyle="1" w:styleId="xl70">
    <w:name w:val="xl70"/>
    <w:basedOn w:val="Normal"/>
    <w:rsid w:val="000F4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rPr>
  </w:style>
  <w:style w:type="paragraph" w:customStyle="1" w:styleId="xl71">
    <w:name w:val="xl71"/>
    <w:basedOn w:val="Normal"/>
    <w:rsid w:val="000F4D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rPr>
  </w:style>
  <w:style w:type="paragraph" w:customStyle="1" w:styleId="xl72">
    <w:name w:val="xl72"/>
    <w:basedOn w:val="Normal"/>
    <w:rsid w:val="000F4D9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73">
    <w:name w:val="xl73"/>
    <w:basedOn w:val="Normal"/>
    <w:rsid w:val="000F4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rPr>
  </w:style>
  <w:style w:type="paragraph" w:customStyle="1" w:styleId="xl74">
    <w:name w:val="xl74"/>
    <w:basedOn w:val="Normal"/>
    <w:rsid w:val="000F4D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rPr>
  </w:style>
  <w:style w:type="paragraph" w:customStyle="1" w:styleId="xl75">
    <w:name w:val="xl75"/>
    <w:basedOn w:val="Normal"/>
    <w:rsid w:val="000F4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76">
    <w:name w:val="xl76"/>
    <w:basedOn w:val="Normal"/>
    <w:rsid w:val="000F4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77">
    <w:name w:val="xl77"/>
    <w:basedOn w:val="Normal"/>
    <w:rsid w:val="000F4D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rPr>
  </w:style>
  <w:style w:type="paragraph" w:customStyle="1" w:styleId="xl78">
    <w:name w:val="xl78"/>
    <w:basedOn w:val="Normal"/>
    <w:rsid w:val="000F4D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9">
    <w:name w:val="xl79"/>
    <w:basedOn w:val="Normal"/>
    <w:rsid w:val="000F4D94"/>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70" w:type="dxa"/>
        <w:right w:w="70" w:type="dxa"/>
      </w:tblCellMar>
    </w:tblPr>
  </w:style>
  <w:style w:type="paragraph" w:customStyle="1" w:styleId="Subttulo0">
    <w:name w:val="Sub título"/>
    <w:basedOn w:val="Normal"/>
    <w:next w:val="Normal"/>
    <w:qFormat/>
    <w:rsid w:val="00A128A1"/>
    <w:pPr>
      <w:contextualSpacing/>
      <w:jc w:val="center"/>
    </w:pPr>
    <w:rPr>
      <w:rFonts w:ascii="Times New Roman" w:eastAsiaTheme="majorEastAsia" w:hAnsi="Times New Roman" w:cs="Times New Roman"/>
      <w:b/>
      <w:color w:val="00000A"/>
      <w:spacing w:val="5"/>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leis/l8429.htm"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gov.br/compras/pt-br/acesso-a-informacao/legislacao/instrucoes-normativas/instrucao-normativa-no-53-de-8-de-julho-de-2020" TargetMode="External"/><Relationship Id="rId33" Type="http://schemas.openxmlformats.org/officeDocument/2006/relationships/hyperlink" Target="https://www.gov.br/compras/pt-br/acesso-a-informacao/legislacao/instrucoes-normativas/instrucao-normativa-seges-me-no-116-de-21-de-dezembro-de-2021"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economia/pt-br/assuntos/drei/legislacao/arquivos/legislacoes-federais/indrei772020.pd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trabalho-e-previdencia/pt-br/servicos/empregador/programa-de-alimentacao-do-trabalhador-pat/arquivos-legislacao/instrucoes-normativas/pat_in_971_2009.pdf" TargetMode="External"/><Relationship Id="rId37" Type="http://schemas.openxmlformats.org/officeDocument/2006/relationships/hyperlink" Target="http://www.planalto.gov.br/ccivil_03/_Ato2019-2022/2021/Lei/L14133.htm"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in.gov.br/en/web/dou/-/instrucao-normativa-seges/me-n-77-de-4-de-novembro-de-2022-441681061" TargetMode="External"/><Relationship Id="rId28" Type="http://schemas.openxmlformats.org/officeDocument/2006/relationships/hyperlink" Target="https://www.gov.br/empresas-e-negocios/pt-br/empreendedo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9-2022/2021/decreto/d10880.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AGU/Pareceres/2019-2022/PRC-JL-01-2020.htm" TargetMode="External"/><Relationship Id="rId30" Type="http://schemas.openxmlformats.org/officeDocument/2006/relationships/hyperlink" Target="https://www.planalto.gov.br/ccivil_03/leis/l5764.htm" TargetMode="External"/><Relationship Id="rId3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bSeA5BTGOuNG7EW4T7eOQgCaVA==">CgMxLjAyCGguZ2pkZ3hzMgloLjMwajB6bGwyCWguMWZvYjl0ZTIJaC4zem55c2g3MgloLjJldDkycDA4AHIhMWpoRTljbHVUak15MFRBSGxTUk9UdThVVC1wajVJWFVV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32</Pages>
  <Words>9762</Words>
  <Characters>52721</Characters>
  <Application>Microsoft Office Word</Application>
  <DocSecurity>0</DocSecurity>
  <Lines>439</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 Aux 05</dc:creator>
  <cp:lastModifiedBy>Salc</cp:lastModifiedBy>
  <cp:revision>13</cp:revision>
  <cp:lastPrinted>2025-05-19T17:03:00Z</cp:lastPrinted>
  <dcterms:created xsi:type="dcterms:W3CDTF">2024-03-06T18:39:00Z</dcterms:created>
  <dcterms:modified xsi:type="dcterms:W3CDTF">2025-05-19T17:03:00Z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